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8C4" w:rsidRPr="00E364A8" w:rsidRDefault="004E5710">
      <w:pPr>
        <w:jc w:val="both"/>
      </w:pPr>
      <w:r w:rsidRPr="00E364A8">
        <w:rPr>
          <w:rFonts w:ascii="Times New Roman" w:hAnsi="Times New Roman"/>
          <w:sz w:val="24"/>
          <w:szCs w:val="24"/>
        </w:rPr>
        <w:t>Na temelju članka 95. Zakona o komunalnom gospodarstvu (Narodne novine 68/18 i 110/18 -</w:t>
      </w:r>
      <w:r w:rsidRPr="00E364A8">
        <w:rPr>
          <w:rFonts w:cs="Calibri"/>
        </w:rPr>
        <w:t xml:space="preserve"> </w:t>
      </w:r>
      <w:r w:rsidRPr="00E364A8">
        <w:rPr>
          <w:rFonts w:ascii="Times New Roman" w:hAnsi="Times New Roman"/>
          <w:sz w:val="24"/>
          <w:szCs w:val="24"/>
        </w:rPr>
        <w:t>Odluka Ustavnog suda Republike Hrvatske</w:t>
      </w:r>
      <w:r w:rsidRPr="00E364A8">
        <w:rPr>
          <w:rFonts w:cs="Calibri"/>
          <w:sz w:val="24"/>
          <w:szCs w:val="24"/>
        </w:rPr>
        <w:t>)</w:t>
      </w:r>
      <w:r w:rsidRPr="00E364A8">
        <w:rPr>
          <w:rFonts w:ascii="Times New Roman" w:hAnsi="Times New Roman"/>
          <w:sz w:val="24"/>
          <w:szCs w:val="24"/>
        </w:rPr>
        <w:t xml:space="preserve"> i članka 41. točke 2. Statuta Grada Zagreba (Službeni glasnik Grada Zagreba 23/16, 2/18 i 23/18), Gradska skupština Grada Zagreba, na ________. sjednici, __________2019., donijela je</w:t>
      </w:r>
    </w:p>
    <w:p w:rsidR="001958C4" w:rsidRPr="00E364A8" w:rsidRDefault="001958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ODLUKU</w:t>
      </w:r>
    </w:p>
    <w:p w:rsidR="001958C4" w:rsidRPr="00E364A8" w:rsidRDefault="004E5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 xml:space="preserve"> o komunalnoj naknadi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 xml:space="preserve"> </w:t>
      </w:r>
    </w:p>
    <w:p w:rsidR="001958C4" w:rsidRPr="00E364A8" w:rsidRDefault="004E571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 xml:space="preserve">OPĆE ODREDBE 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Ovom se odlukom određuju područja zona u Gradu Zagrebu u kojima se naplaćuje komunalna naknada,  koeficijenti zona (</w:t>
      </w:r>
      <w:proofErr w:type="spellStart"/>
      <w:r w:rsidRPr="00E364A8">
        <w:rPr>
          <w:rFonts w:ascii="Times New Roman" w:hAnsi="Times New Roman"/>
          <w:sz w:val="24"/>
          <w:szCs w:val="24"/>
        </w:rPr>
        <w:t>Kz</w:t>
      </w:r>
      <w:proofErr w:type="spellEnd"/>
      <w:r w:rsidRPr="00E364A8">
        <w:rPr>
          <w:rFonts w:ascii="Times New Roman" w:hAnsi="Times New Roman"/>
          <w:sz w:val="24"/>
          <w:szCs w:val="24"/>
        </w:rPr>
        <w:t>) za pojedine zone, koeficijenti namjene (Kn) za nekretnine za koje se plaća komunalna naknada, rokovi plaćanja komunalne naknade, nekretnine važne za Grad Zagreb koje se u potpunosti ili djelomično oslobađaju od plaćanja komunalne naknade i   opći uvjeti i razlozi zbog kojih se u pojedinačnim slučajevima odobrava  djelomično  ili potpuno oslobođenje od plaćanja komunalne naknade.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2.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Komunalna naknada je novčano javno davanje koje se plaća za održavanje komunalne infrastrukture.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Komunalna naknada je prihod proračuna Grada Zagreba. Sredstva komunalne naknade namijenjena su za financiranje održavanja i građenja komunalne infrastrukture.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Sredstva komunalne naknade mogu se koristiti za financiranje građenja i održavanja objekata predškolskog, školskog, zdravstvenog i socijalnog sadržaja, javnih građevina sportske i kulturne namjene te poboljšanja energetske učinkovitosti zgrada u vlasništvu Grada Zagreba ako se time ne dovodi u pitanje mogućnost održavanja i građenja komunalne infrastrukture.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3.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Komunalna naknada plaća se za: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1.stambeni prostor,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2. garažni prostor,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3. poslovni prostora,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4. građevinsko zemljište koje služi obavljanju poslovne djelatnosti,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5. neizgrađeno građevinsko zemljište.</w:t>
      </w: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Komunalna naknada plaća se za nekretnine iz stavka 1. ovoga članka koje se nalaze na području na kojem se najmanje obavljaju komunalne djelatnosti održavanja nerazvrstanih cesta i održavanja javne rasvjete i koje je opremljeno najmanje pristupanom cestom, niskonaponskom </w:t>
      </w:r>
      <w:r w:rsidRPr="00E364A8">
        <w:rPr>
          <w:rFonts w:ascii="Times New Roman" w:hAnsi="Times New Roman"/>
          <w:sz w:val="24"/>
          <w:szCs w:val="24"/>
        </w:rPr>
        <w:lastRenderedPageBreak/>
        <w:t>električnom mrežom i vodom prema mjesnim prilikama te čini sastavni dio infrastrukture Grada Zagreba.</w:t>
      </w:r>
    </w:p>
    <w:p w:rsidR="00336FDF" w:rsidRPr="00E364A8" w:rsidRDefault="00336F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Građevinskim zemljištem koje služi obavljanju poslovne djelatnosti smatra se zemljište koje se nalazi unutar ili izvan granica građevinskog područja, a na kojemu se obavlja poslovna djelatnost.</w:t>
      </w:r>
    </w:p>
    <w:p w:rsidR="001958C4" w:rsidRPr="00E364A8" w:rsidRDefault="004E5710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Neizgrađenim građevinskim zemljištem smatra se zemljište koje se nalazi unutar granica građevinskog područja na kojemu se u skladu s propisima kojima se uređuje prostorno uređenje i gradnja mogu graditi zgrade stambene ili poslovne namjene, a na kojemu nije izgrađena zgrada ili na kojemu postoji privremena građevina za čiju izgradnju nije potrebna građevinska dozvola. Neizgrađenim građevinskim zemljištem smatra se i zemljište na kojemu se nalazi ruševina zgrade.</w:t>
      </w:r>
    </w:p>
    <w:p w:rsidR="001958C4" w:rsidRPr="00E364A8" w:rsidRDefault="001958C4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OBVEZNICI PLAĆANJA KOMUNALNE NAKNADE</w:t>
      </w:r>
    </w:p>
    <w:p w:rsidR="001958C4" w:rsidRPr="00E364A8" w:rsidRDefault="001958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>
      <w:pPr>
        <w:spacing w:after="135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0" w:name="_Hlk531770457"/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Članak 4.</w:t>
      </w:r>
    </w:p>
    <w:bookmarkEnd w:id="0"/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Komunalnu naknadu plaća vlasnik odnosno korisnik nekretnine iz članka 3. stavka 1. ove odluke.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Korisnik nekretnine iz stavka 1. ovoga članka plaća komunalnu naknadu: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1. ako je na njega obveza plaćanja te naknade prenesena pisanim ugovorom,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2. ako nekretninu koristi bez pravne osnove ili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3. ako se ne može utvrditi vlasnik.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Vlasnik nekretnine solidarno jamči za plaćanje komunalne naknade ako je obveza plaćanja te naknade prenesena na korisnika nekretnine pisanim ugovorom.</w:t>
      </w:r>
    </w:p>
    <w:p w:rsidR="001958C4" w:rsidRPr="00E364A8" w:rsidRDefault="001958C4">
      <w:pPr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OBVEZA PLAĆANJA KOMUNALNE NAKNADE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5.</w:t>
      </w:r>
    </w:p>
    <w:p w:rsidR="001958C4" w:rsidRPr="00E364A8" w:rsidRDefault="004E5710" w:rsidP="00336FDF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 Obveza plaćanja komunalne naknade nastaje:</w:t>
      </w:r>
    </w:p>
    <w:p w:rsidR="001958C4" w:rsidRPr="00E364A8" w:rsidRDefault="004E5710" w:rsidP="00336FDF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1. danom izvršnosti uporabne dozvole odnosno danom početka korištenja nekretnine koja se koristi bez uporabne dozvole</w:t>
      </w:r>
      <w:r w:rsidR="00336FDF" w:rsidRPr="00E364A8">
        <w:rPr>
          <w:rFonts w:ascii="Times New Roman" w:hAnsi="Times New Roman"/>
          <w:sz w:val="24"/>
          <w:szCs w:val="24"/>
        </w:rPr>
        <w:t>,</w:t>
      </w:r>
    </w:p>
    <w:p w:rsidR="001958C4" w:rsidRPr="00E364A8" w:rsidRDefault="004E5710" w:rsidP="00336FDF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2. danom sklapanja ugovora kojim se stječe vlasništvo ili pravo korištenja nekretnine</w:t>
      </w:r>
      <w:r w:rsidR="00336FDF" w:rsidRPr="00E364A8">
        <w:rPr>
          <w:rFonts w:ascii="Times New Roman" w:hAnsi="Times New Roman"/>
          <w:sz w:val="24"/>
          <w:szCs w:val="24"/>
        </w:rPr>
        <w:t>,</w:t>
      </w:r>
    </w:p>
    <w:p w:rsidR="001958C4" w:rsidRPr="00E364A8" w:rsidRDefault="004E5710" w:rsidP="00336FDF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3. danom pravomoćnosti odluke tijela javne vlasti kojim se stječe vlasništvo nekretnine</w:t>
      </w:r>
      <w:r w:rsidR="00336FDF" w:rsidRPr="00E364A8">
        <w:rPr>
          <w:rFonts w:ascii="Times New Roman" w:hAnsi="Times New Roman"/>
          <w:sz w:val="24"/>
          <w:szCs w:val="24"/>
        </w:rPr>
        <w:t>,</w:t>
      </w:r>
    </w:p>
    <w:p w:rsidR="001958C4" w:rsidRPr="00E364A8" w:rsidRDefault="004E5710" w:rsidP="00336FDF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4. danom početka korištenja nekretnine koja se koristi bez pravne osnove.</w:t>
      </w: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Obveznik plaćanja komunalne naknade dužan je upravnom tijelu nadležnom za komunalne poslove u roku od 15 dana od dana nastanka obveze plaćanja komunalne naknade, promjene osobe obveznika ili promjene drugih podataka bitnih za utvrđivanje obveze plaćanja komunalne naknade prijaviti </w:t>
      </w:r>
      <w:r w:rsidRPr="004F489C">
        <w:rPr>
          <w:rFonts w:ascii="Times New Roman" w:hAnsi="Times New Roman"/>
          <w:sz w:val="24"/>
          <w:szCs w:val="24"/>
        </w:rPr>
        <w:t>nastanak obveze</w:t>
      </w:r>
      <w:r w:rsidRPr="00E364A8">
        <w:rPr>
          <w:rFonts w:ascii="Times New Roman" w:hAnsi="Times New Roman"/>
          <w:sz w:val="24"/>
          <w:szCs w:val="24"/>
        </w:rPr>
        <w:t>, promjenu  podataka,  dostaviti sve podatke i omogućiti uvid u njih.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lastRenderedPageBreak/>
        <w:t>Pod drugim podacima bitnim za utvrđivanje obveze plaćanja komunalne naknade iz stavka 2. ovoga članka smatra se promjena obračunske površine nekretnine ili promjena namjene nekretnine.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:rsidR="001958C4" w:rsidRPr="00E364A8" w:rsidRDefault="004E5710">
      <w:pPr>
        <w:pStyle w:val="ListParagraph"/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PODRUČJA ZONA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6.</w:t>
      </w:r>
    </w:p>
    <w:p w:rsidR="001958C4" w:rsidRPr="00E364A8" w:rsidRDefault="004E5710">
      <w:pPr>
        <w:suppressAutoHyphens w:val="0"/>
        <w:spacing w:before="10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Područja zona u Gradu Zagrebu  u kojima se naplaćuje komunalna naknada određuju se s obzirom na uređenost i opremljenost područja komunalnom infrastrukturom.</w:t>
      </w:r>
    </w:p>
    <w:p w:rsidR="001958C4" w:rsidRPr="00E364A8" w:rsidRDefault="004E5710">
      <w:pPr>
        <w:suppressAutoHyphens w:val="0"/>
        <w:spacing w:before="10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Grad Zagreb podijeljen je na devet zona:</w:t>
      </w:r>
    </w:p>
    <w:p w:rsidR="001958C4" w:rsidRPr="00E364A8" w:rsidRDefault="001958C4">
      <w:pPr>
        <w:suppressAutoHyphens w:val="0"/>
        <w:spacing w:before="10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>
      <w:pPr>
        <w:numPr>
          <w:ilvl w:val="0"/>
          <w:numId w:val="3"/>
        </w:numPr>
        <w:suppressAutoHyphens w:val="0"/>
        <w:spacing w:after="0" w:line="240" w:lineRule="auto"/>
        <w:jc w:val="both"/>
        <w:textAlignment w:val="auto"/>
      </w:pPr>
      <w:r w:rsidRPr="00E364A8">
        <w:rPr>
          <w:rStyle w:val="Zadanifontodlomka"/>
          <w:rFonts w:ascii="Times New Roman" w:eastAsia="Times New Roman" w:hAnsi="Times New Roman"/>
          <w:b/>
          <w:sz w:val="24"/>
          <w:szCs w:val="24"/>
          <w:lang w:eastAsia="hr-HR"/>
        </w:rPr>
        <w:t xml:space="preserve">ZONA </w:t>
      </w:r>
      <w:r w:rsidRPr="00E364A8">
        <w:rPr>
          <w:rStyle w:val="Zadanifontodlomka"/>
          <w:rFonts w:ascii="Times New Roman" w:eastAsia="Times New Roman" w:hAnsi="Times New Roman"/>
          <w:sz w:val="24"/>
          <w:szCs w:val="24"/>
          <w:lang w:eastAsia="hr-HR"/>
        </w:rPr>
        <w:t>obuhvaća sljedeća gradska područja (područja mjesnih odbora):</w:t>
      </w:r>
      <w:r w:rsidRPr="00E364A8">
        <w:rPr>
          <w:rStyle w:val="Zadanifontodlomka"/>
          <w:rFonts w:ascii="Times New Roman" w:hAnsi="Times New Roman"/>
          <w:sz w:val="24"/>
          <w:szCs w:val="24"/>
        </w:rPr>
        <w:t xml:space="preserve"> </w:t>
      </w:r>
    </w:p>
    <w:p w:rsidR="001958C4" w:rsidRPr="00E364A8" w:rsidRDefault="001958C4">
      <w:pPr>
        <w:suppressAutoHyphens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Tuškanac, Gornji grad, </w:t>
      </w:r>
      <w:proofErr w:type="spellStart"/>
      <w:r w:rsidRPr="00E364A8">
        <w:rPr>
          <w:rFonts w:ascii="Times New Roman" w:hAnsi="Times New Roman"/>
          <w:sz w:val="24"/>
          <w:szCs w:val="24"/>
        </w:rPr>
        <w:t>Gupčeva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zvijezda, </w:t>
      </w:r>
      <w:proofErr w:type="spellStart"/>
      <w:r w:rsidRPr="00E364A8">
        <w:rPr>
          <w:rFonts w:ascii="Times New Roman" w:hAnsi="Times New Roman"/>
          <w:sz w:val="24"/>
          <w:szCs w:val="24"/>
        </w:rPr>
        <w:t>Medveščak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Voćarska, „Dinko Šimunović", </w:t>
      </w:r>
      <w:proofErr w:type="spellStart"/>
      <w:r w:rsidRPr="00E364A8">
        <w:rPr>
          <w:rFonts w:ascii="Times New Roman" w:hAnsi="Times New Roman"/>
          <w:sz w:val="24"/>
          <w:szCs w:val="24"/>
        </w:rPr>
        <w:t>Mašićeva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Maksimir, Maksimirska naselja, „Eugen Kvaternik", Ružmarinka, Peščenica, Ribnjak, „August Cesarec", „Ban Keglević", „Petar Zrinski", „Andrija Medulić", „Mimara", Cvjetni trg, „Kralj Petar Svačić", Zrinjevac, „August Šenoa", „Matko </w:t>
      </w:r>
      <w:proofErr w:type="spellStart"/>
      <w:r w:rsidRPr="00E364A8">
        <w:rPr>
          <w:rFonts w:ascii="Times New Roman" w:hAnsi="Times New Roman"/>
          <w:sz w:val="24"/>
          <w:szCs w:val="24"/>
        </w:rPr>
        <w:t>Laginja</w:t>
      </w:r>
      <w:proofErr w:type="spellEnd"/>
      <w:r w:rsidRPr="00E364A8">
        <w:rPr>
          <w:rFonts w:ascii="Times New Roman" w:hAnsi="Times New Roman"/>
          <w:sz w:val="24"/>
          <w:szCs w:val="24"/>
        </w:rPr>
        <w:t>", „Petar Krešimir IV".</w:t>
      </w: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mjesnih odbora): </w:t>
      </w:r>
    </w:p>
    <w:p w:rsidR="001958C4" w:rsidRPr="00E364A8" w:rsidRDefault="001958C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4A8">
        <w:rPr>
          <w:rFonts w:ascii="Times New Roman" w:hAnsi="Times New Roman"/>
          <w:sz w:val="24"/>
          <w:szCs w:val="24"/>
        </w:rPr>
        <w:t>Gajnice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Vrapče-centar, </w:t>
      </w:r>
      <w:proofErr w:type="spellStart"/>
      <w:r w:rsidRPr="00E364A8">
        <w:rPr>
          <w:rFonts w:ascii="Times New Roman" w:hAnsi="Times New Roman"/>
          <w:sz w:val="24"/>
          <w:szCs w:val="24"/>
        </w:rPr>
        <w:t>Kustošija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-centar, Šestine, Gračani, „Sveti Duh", „Bartol Kašić", Remete, Bukovac, Kozjak, Dobri Dol, </w:t>
      </w:r>
      <w:proofErr w:type="spellStart"/>
      <w:r w:rsidRPr="00E364A8">
        <w:rPr>
          <w:rFonts w:ascii="Times New Roman" w:hAnsi="Times New Roman"/>
          <w:sz w:val="24"/>
          <w:szCs w:val="24"/>
        </w:rPr>
        <w:t>Šalata</w:t>
      </w:r>
      <w:proofErr w:type="spellEnd"/>
      <w:r w:rsidRPr="00E364A8">
        <w:rPr>
          <w:rFonts w:ascii="Times New Roman" w:hAnsi="Times New Roman"/>
          <w:sz w:val="24"/>
          <w:szCs w:val="24"/>
        </w:rPr>
        <w:t>, Šestinski dol-</w:t>
      </w:r>
      <w:proofErr w:type="spellStart"/>
      <w:r w:rsidRPr="00E364A8">
        <w:rPr>
          <w:rFonts w:ascii="Times New Roman" w:hAnsi="Times New Roman"/>
          <w:sz w:val="24"/>
          <w:szCs w:val="24"/>
        </w:rPr>
        <w:t>Vrhovec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Jelenovac, „Stjepan Radić",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Kraljevec</w:t>
      </w:r>
      <w:proofErr w:type="spellEnd"/>
      <w:r w:rsidRPr="00E364A8">
        <w:rPr>
          <w:rFonts w:ascii="Times New Roman" w:hAnsi="Times New Roman"/>
          <w:sz w:val="24"/>
          <w:szCs w:val="24"/>
        </w:rPr>
        <w:t>, „Ivan Kukuljević-</w:t>
      </w:r>
      <w:proofErr w:type="spellStart"/>
      <w:r w:rsidRPr="00E364A8">
        <w:rPr>
          <w:rFonts w:ascii="Times New Roman" w:hAnsi="Times New Roman"/>
          <w:sz w:val="24"/>
          <w:szCs w:val="24"/>
        </w:rPr>
        <w:t>Sakcinski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", Nova </w:t>
      </w:r>
      <w:proofErr w:type="spellStart"/>
      <w:r w:rsidRPr="00E364A8">
        <w:rPr>
          <w:rFonts w:ascii="Times New Roman" w:hAnsi="Times New Roman"/>
          <w:sz w:val="24"/>
          <w:szCs w:val="24"/>
        </w:rPr>
        <w:t>Ves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Petrova, „Pavao Šubić", „Nadbiskup Antun Bauer", „Hrvatski narodni vladari", „Knez Mislav", „Kralj Zvonimir", </w:t>
      </w:r>
      <w:proofErr w:type="spellStart"/>
      <w:r w:rsidRPr="00E364A8">
        <w:rPr>
          <w:rFonts w:ascii="Times New Roman" w:hAnsi="Times New Roman"/>
          <w:sz w:val="24"/>
          <w:szCs w:val="24"/>
        </w:rPr>
        <w:t>Volovčica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Studentski grad, Malešnica, </w:t>
      </w:r>
      <w:proofErr w:type="spellStart"/>
      <w:r w:rsidRPr="00E364A8">
        <w:rPr>
          <w:rFonts w:ascii="Times New Roman" w:hAnsi="Times New Roman"/>
          <w:sz w:val="24"/>
          <w:szCs w:val="24"/>
        </w:rPr>
        <w:t>Špansko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-sjever, </w:t>
      </w:r>
      <w:proofErr w:type="spellStart"/>
      <w:r w:rsidRPr="00E364A8">
        <w:rPr>
          <w:rFonts w:ascii="Times New Roman" w:hAnsi="Times New Roman"/>
          <w:sz w:val="24"/>
          <w:szCs w:val="24"/>
        </w:rPr>
        <w:t>Špansko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-jug, Prečko, </w:t>
      </w:r>
      <w:proofErr w:type="spellStart"/>
      <w:r w:rsidRPr="00E364A8">
        <w:rPr>
          <w:rFonts w:ascii="Times New Roman" w:hAnsi="Times New Roman"/>
          <w:sz w:val="24"/>
          <w:szCs w:val="24"/>
        </w:rPr>
        <w:t>Vrbani</w:t>
      </w:r>
      <w:proofErr w:type="spellEnd"/>
      <w:r w:rsidRPr="00E364A8">
        <w:rPr>
          <w:rFonts w:ascii="Times New Roman" w:hAnsi="Times New Roman"/>
          <w:sz w:val="24"/>
          <w:szCs w:val="24"/>
        </w:rPr>
        <w:t>, Jarun, Gajevo, Horvati – Srednjaci, „</w:t>
      </w:r>
      <w:proofErr w:type="spellStart"/>
      <w:r w:rsidRPr="00E364A8">
        <w:rPr>
          <w:rFonts w:ascii="Times New Roman" w:hAnsi="Times New Roman"/>
          <w:sz w:val="24"/>
          <w:szCs w:val="24"/>
        </w:rPr>
        <w:t>Samoborček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", „Silvije </w:t>
      </w:r>
      <w:proofErr w:type="spellStart"/>
      <w:r w:rsidRPr="00E364A8">
        <w:rPr>
          <w:rFonts w:ascii="Times New Roman" w:hAnsi="Times New Roman"/>
          <w:sz w:val="24"/>
          <w:szCs w:val="24"/>
        </w:rPr>
        <w:t>Strahimir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Kranjčević", „Nikola Tesla", Stara Trešnjevka, „Antun Mihanović", Knežija, </w:t>
      </w:r>
      <w:proofErr w:type="spellStart"/>
      <w:r w:rsidRPr="00E364A8">
        <w:rPr>
          <w:rFonts w:ascii="Times New Roman" w:hAnsi="Times New Roman"/>
          <w:sz w:val="24"/>
          <w:szCs w:val="24"/>
        </w:rPr>
        <w:t>Martinovka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„Marin Držić", Kanal, Sigečica, „Janko Matko", </w:t>
      </w:r>
      <w:proofErr w:type="spellStart"/>
      <w:r w:rsidRPr="00E364A8">
        <w:rPr>
          <w:rFonts w:ascii="Times New Roman" w:hAnsi="Times New Roman"/>
          <w:sz w:val="24"/>
          <w:szCs w:val="24"/>
        </w:rPr>
        <w:t>Folnegovićevo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naselje, Trnjanska Savica, Cvjetnica, Vrbik, </w:t>
      </w:r>
      <w:proofErr w:type="spellStart"/>
      <w:r w:rsidRPr="00E364A8">
        <w:rPr>
          <w:rFonts w:ascii="Times New Roman" w:hAnsi="Times New Roman"/>
          <w:sz w:val="24"/>
          <w:szCs w:val="24"/>
        </w:rPr>
        <w:t>Miramare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Trnje, Staro Trnje, Savski kuti, Veslačko naselje, Cvjetno naselje, Središće, </w:t>
      </w:r>
      <w:proofErr w:type="spellStart"/>
      <w:r w:rsidRPr="00E364A8">
        <w:rPr>
          <w:rFonts w:ascii="Times New Roman" w:hAnsi="Times New Roman"/>
          <w:sz w:val="24"/>
          <w:szCs w:val="24"/>
        </w:rPr>
        <w:t>Zapruđe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Lanište, Savski gaj, </w:t>
      </w:r>
      <w:proofErr w:type="spellStart"/>
      <w:r w:rsidRPr="00E364A8">
        <w:rPr>
          <w:rFonts w:ascii="Times New Roman" w:hAnsi="Times New Roman"/>
          <w:sz w:val="24"/>
          <w:szCs w:val="24"/>
        </w:rPr>
        <w:t>Trnsko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Siget, </w:t>
      </w:r>
      <w:proofErr w:type="spellStart"/>
      <w:r w:rsidRPr="00E364A8">
        <w:rPr>
          <w:rFonts w:ascii="Times New Roman" w:hAnsi="Times New Roman"/>
          <w:sz w:val="24"/>
          <w:szCs w:val="24"/>
        </w:rPr>
        <w:t>Sopot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Utrine, Sloboština, Travno, </w:t>
      </w:r>
      <w:proofErr w:type="spellStart"/>
      <w:r w:rsidRPr="00E364A8">
        <w:rPr>
          <w:rFonts w:ascii="Times New Roman" w:hAnsi="Times New Roman"/>
          <w:sz w:val="24"/>
          <w:szCs w:val="24"/>
        </w:rPr>
        <w:t>Dugave</w:t>
      </w:r>
      <w:proofErr w:type="spellEnd"/>
      <w:r w:rsidRPr="00E364A8">
        <w:rPr>
          <w:rFonts w:ascii="Times New Roman" w:hAnsi="Times New Roman"/>
          <w:sz w:val="24"/>
          <w:szCs w:val="24"/>
        </w:rPr>
        <w:t>, Mlinovi.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mjesnih odbora):</w:t>
      </w:r>
    </w:p>
    <w:p w:rsidR="001958C4" w:rsidRPr="00E364A8" w:rsidRDefault="001958C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„Matija Gubec", Rudeš, „Dr. Ante Starčević", </w:t>
      </w:r>
      <w:proofErr w:type="spellStart"/>
      <w:r w:rsidRPr="00E364A8">
        <w:rPr>
          <w:rFonts w:ascii="Times New Roman" w:hAnsi="Times New Roman"/>
          <w:sz w:val="24"/>
          <w:szCs w:val="24"/>
        </w:rPr>
        <w:t>Ljubljanica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Pongračevo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Ciglenica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Donje Svetice, „Bruno Bušić", </w:t>
      </w:r>
      <w:proofErr w:type="spellStart"/>
      <w:r w:rsidRPr="00E364A8">
        <w:rPr>
          <w:rFonts w:ascii="Times New Roman" w:hAnsi="Times New Roman"/>
          <w:sz w:val="24"/>
          <w:szCs w:val="24"/>
        </w:rPr>
        <w:t>Ferenščica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Dubrava-središte, Klaka, </w:t>
      </w:r>
      <w:proofErr w:type="spellStart"/>
      <w:r w:rsidRPr="00E364A8">
        <w:rPr>
          <w:rFonts w:ascii="Times New Roman" w:hAnsi="Times New Roman"/>
          <w:sz w:val="24"/>
          <w:szCs w:val="24"/>
        </w:rPr>
        <w:t>Trnovčica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Luka, Centar, </w:t>
      </w:r>
      <w:proofErr w:type="spellStart"/>
      <w:r w:rsidRPr="00E364A8">
        <w:rPr>
          <w:rFonts w:ascii="Times New Roman" w:hAnsi="Times New Roman"/>
          <w:sz w:val="24"/>
          <w:szCs w:val="24"/>
        </w:rPr>
        <w:t>Gajišće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Kajzerica, Remetinec, </w:t>
      </w:r>
      <w:proofErr w:type="spellStart"/>
      <w:r w:rsidRPr="00E364A8">
        <w:rPr>
          <w:rFonts w:ascii="Times New Roman" w:hAnsi="Times New Roman"/>
          <w:sz w:val="24"/>
          <w:szCs w:val="24"/>
        </w:rPr>
        <w:t>Hrelić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Botinec</w:t>
      </w:r>
      <w:proofErr w:type="spellEnd"/>
      <w:r w:rsidRPr="00E364A8">
        <w:rPr>
          <w:rFonts w:ascii="Times New Roman" w:hAnsi="Times New Roman"/>
          <w:sz w:val="24"/>
          <w:szCs w:val="24"/>
        </w:rPr>
        <w:t>.</w:t>
      </w:r>
    </w:p>
    <w:p w:rsidR="001958C4" w:rsidRPr="00E364A8" w:rsidRDefault="001958C4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6FDF" w:rsidRPr="00E364A8" w:rsidRDefault="00336FDF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6FDF" w:rsidRPr="00E364A8" w:rsidRDefault="00336FDF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6FDF" w:rsidRPr="00E364A8" w:rsidRDefault="00336FDF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336FDF" w:rsidRPr="00E364A8" w:rsidRDefault="00336FDF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lastRenderedPageBreak/>
        <w:t xml:space="preserve">ZONA </w:t>
      </w:r>
      <w:r w:rsidRPr="00E364A8">
        <w:rPr>
          <w:rFonts w:ascii="Times New Roman" w:hAnsi="Times New Roman"/>
          <w:sz w:val="24"/>
          <w:szCs w:val="24"/>
        </w:rPr>
        <w:t>obuhvaća sljedeća gradska područja (područja mjesnih odbora):</w:t>
      </w:r>
    </w:p>
    <w:p w:rsidR="001958C4" w:rsidRPr="00E364A8" w:rsidRDefault="001958C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Podsused, </w:t>
      </w:r>
      <w:proofErr w:type="spellStart"/>
      <w:r w:rsidRPr="00E364A8">
        <w:rPr>
          <w:rFonts w:ascii="Times New Roman" w:hAnsi="Times New Roman"/>
          <w:sz w:val="24"/>
          <w:szCs w:val="24"/>
        </w:rPr>
        <w:t>Perjavica-Borčec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Gornje Vrapče, </w:t>
      </w:r>
      <w:proofErr w:type="spellStart"/>
      <w:r w:rsidRPr="00E364A8">
        <w:rPr>
          <w:rFonts w:ascii="Times New Roman" w:hAnsi="Times New Roman"/>
          <w:sz w:val="24"/>
          <w:szCs w:val="24"/>
        </w:rPr>
        <w:t>Dotrščina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Gornja Dubrava, Donja Dubrava, „Ivan Mažuranić", Poljanice, Novi Retkovec, </w:t>
      </w:r>
      <w:proofErr w:type="spellStart"/>
      <w:r w:rsidRPr="00E364A8">
        <w:rPr>
          <w:rFonts w:ascii="Times New Roman" w:hAnsi="Times New Roman"/>
          <w:sz w:val="24"/>
          <w:szCs w:val="24"/>
        </w:rPr>
        <w:t>Dubec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Novo </w:t>
      </w:r>
      <w:proofErr w:type="spellStart"/>
      <w:r w:rsidRPr="00E364A8">
        <w:rPr>
          <w:rFonts w:ascii="Times New Roman" w:hAnsi="Times New Roman"/>
          <w:sz w:val="24"/>
          <w:szCs w:val="24"/>
        </w:rPr>
        <w:t>Brestje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Sesvetski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Kraljevec</w:t>
      </w:r>
      <w:proofErr w:type="spellEnd"/>
      <w:r w:rsidRPr="00E364A8">
        <w:rPr>
          <w:rFonts w:ascii="Times New Roman" w:hAnsi="Times New Roman"/>
          <w:sz w:val="24"/>
          <w:szCs w:val="24"/>
        </w:rPr>
        <w:t>, Stenjevec-sjever, Stenjevec-jug, Vrapče-jug, Sveta Klara.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mjesnih odbora):</w:t>
      </w:r>
    </w:p>
    <w:p w:rsidR="001958C4" w:rsidRPr="00E364A8" w:rsidRDefault="001958C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Gornji Stenjevec, Gornja </w:t>
      </w:r>
      <w:proofErr w:type="spellStart"/>
      <w:r w:rsidRPr="00E364A8">
        <w:rPr>
          <w:rFonts w:ascii="Times New Roman" w:hAnsi="Times New Roman"/>
          <w:sz w:val="24"/>
          <w:szCs w:val="24"/>
        </w:rPr>
        <w:t>Kustošija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Medvedgrad, </w:t>
      </w:r>
      <w:proofErr w:type="spellStart"/>
      <w:r w:rsidRPr="00E364A8">
        <w:rPr>
          <w:rFonts w:ascii="Times New Roman" w:hAnsi="Times New Roman"/>
          <w:sz w:val="24"/>
          <w:szCs w:val="24"/>
        </w:rPr>
        <w:t>Markuševec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Miroševec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Oporovec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Staro </w:t>
      </w:r>
      <w:proofErr w:type="spellStart"/>
      <w:r w:rsidRPr="00E364A8">
        <w:rPr>
          <w:rFonts w:ascii="Times New Roman" w:hAnsi="Times New Roman"/>
          <w:sz w:val="24"/>
          <w:szCs w:val="24"/>
        </w:rPr>
        <w:t>Brestje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Sesvetska Sela,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Kraljevečki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Novaki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Kobiljak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Čulinec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„30.  svibnja 1990"., Lučko, Savica Šanci, </w:t>
      </w:r>
      <w:proofErr w:type="spellStart"/>
      <w:r w:rsidRPr="00E364A8">
        <w:rPr>
          <w:rFonts w:ascii="Times New Roman" w:hAnsi="Times New Roman"/>
          <w:sz w:val="24"/>
          <w:szCs w:val="24"/>
        </w:rPr>
        <w:t>Jakuševec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Buzin</w:t>
      </w:r>
      <w:proofErr w:type="spellEnd"/>
      <w:r w:rsidRPr="00E364A8">
        <w:rPr>
          <w:rFonts w:ascii="Times New Roman" w:hAnsi="Times New Roman"/>
          <w:sz w:val="24"/>
          <w:szCs w:val="24"/>
        </w:rPr>
        <w:t>, Mala Mlaka, Hrašće.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 xml:space="preserve">ZONA </w:t>
      </w:r>
      <w:r w:rsidRPr="00E364A8">
        <w:rPr>
          <w:rFonts w:ascii="Times New Roman" w:hAnsi="Times New Roman"/>
          <w:sz w:val="24"/>
          <w:szCs w:val="24"/>
        </w:rPr>
        <w:t>obuhvaća sljedeća gradska područja (područja mjesnih odbora):</w:t>
      </w:r>
    </w:p>
    <w:p w:rsidR="001958C4" w:rsidRPr="00E364A8" w:rsidRDefault="001958C4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Zeleni brijeg, </w:t>
      </w:r>
      <w:proofErr w:type="spellStart"/>
      <w:r w:rsidRPr="00E364A8">
        <w:rPr>
          <w:rFonts w:ascii="Times New Roman" w:hAnsi="Times New Roman"/>
          <w:sz w:val="24"/>
          <w:szCs w:val="24"/>
        </w:rPr>
        <w:t>Granešinski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Novaki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Granešina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Novoselec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Branovec-Jalševec</w:t>
      </w:r>
      <w:proofErr w:type="spellEnd"/>
      <w:r w:rsidRPr="00E364A8">
        <w:rPr>
          <w:rFonts w:ascii="Times New Roman" w:hAnsi="Times New Roman"/>
          <w:sz w:val="24"/>
          <w:szCs w:val="24"/>
        </w:rPr>
        <w:t>,</w:t>
      </w:r>
      <w:r w:rsidR="00336FDF"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36FDF" w:rsidRPr="00E364A8">
        <w:rPr>
          <w:rFonts w:ascii="Times New Roman" w:hAnsi="Times New Roman"/>
          <w:sz w:val="24"/>
          <w:szCs w:val="24"/>
        </w:rPr>
        <w:t>Dankovec</w:t>
      </w:r>
      <w:proofErr w:type="spellEnd"/>
      <w:r w:rsidR="00336FDF" w:rsidRPr="00E364A8">
        <w:rPr>
          <w:rFonts w:ascii="Times New Roman" w:hAnsi="Times New Roman"/>
          <w:sz w:val="24"/>
          <w:szCs w:val="24"/>
        </w:rPr>
        <w:t xml:space="preserve">, </w:t>
      </w: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4A8">
        <w:rPr>
          <w:rFonts w:ascii="Times New Roman" w:hAnsi="Times New Roman"/>
          <w:sz w:val="24"/>
          <w:szCs w:val="24"/>
        </w:rPr>
        <w:t>Čučerje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Borongaj-Lugovi, </w:t>
      </w:r>
      <w:proofErr w:type="spellStart"/>
      <w:r w:rsidRPr="00E364A8">
        <w:rPr>
          <w:rFonts w:ascii="Times New Roman" w:hAnsi="Times New Roman"/>
          <w:sz w:val="24"/>
          <w:szCs w:val="24"/>
        </w:rPr>
        <w:t>Vukomerec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Sesvetska </w:t>
      </w:r>
      <w:proofErr w:type="spellStart"/>
      <w:r w:rsidRPr="00E364A8">
        <w:rPr>
          <w:rFonts w:ascii="Times New Roman" w:hAnsi="Times New Roman"/>
          <w:sz w:val="24"/>
          <w:szCs w:val="24"/>
        </w:rPr>
        <w:t>Sopnica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Novi </w:t>
      </w:r>
      <w:proofErr w:type="spellStart"/>
      <w:r w:rsidRPr="00E364A8">
        <w:rPr>
          <w:rFonts w:ascii="Times New Roman" w:hAnsi="Times New Roman"/>
          <w:sz w:val="24"/>
          <w:szCs w:val="24"/>
        </w:rPr>
        <w:t>Jelkovec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Blato, Hrvatski Leskovac, </w:t>
      </w:r>
      <w:proofErr w:type="spellStart"/>
      <w:r w:rsidRPr="00E364A8">
        <w:rPr>
          <w:rFonts w:ascii="Times New Roman" w:hAnsi="Times New Roman"/>
          <w:sz w:val="24"/>
          <w:szCs w:val="24"/>
        </w:rPr>
        <w:t>Čehi</w:t>
      </w:r>
      <w:proofErr w:type="spellEnd"/>
      <w:r w:rsidRPr="00E364A8">
        <w:rPr>
          <w:rFonts w:ascii="Times New Roman" w:hAnsi="Times New Roman"/>
          <w:sz w:val="24"/>
          <w:szCs w:val="24"/>
        </w:rPr>
        <w:t>, Odra, Veliko Polje.</w:t>
      </w:r>
    </w:p>
    <w:p w:rsidR="001958C4" w:rsidRPr="00E364A8" w:rsidRDefault="001958C4" w:rsidP="00336FD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 mjesnih odbora):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Brezovica, Odranski </w:t>
      </w:r>
      <w:proofErr w:type="spellStart"/>
      <w:r w:rsidRPr="00E364A8">
        <w:rPr>
          <w:rFonts w:ascii="Times New Roman" w:hAnsi="Times New Roman"/>
          <w:sz w:val="24"/>
          <w:szCs w:val="24"/>
        </w:rPr>
        <w:t>Obrež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Petruševec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Kozari Bok, Žitnjak, </w:t>
      </w:r>
      <w:proofErr w:type="spellStart"/>
      <w:r w:rsidRPr="00E364A8">
        <w:rPr>
          <w:rFonts w:ascii="Times New Roman" w:hAnsi="Times New Roman"/>
          <w:sz w:val="24"/>
          <w:szCs w:val="24"/>
        </w:rPr>
        <w:t>Resnik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Trnava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36FDF" w:rsidRPr="00E364A8">
        <w:rPr>
          <w:rFonts w:ascii="Times New Roman" w:hAnsi="Times New Roman"/>
          <w:sz w:val="24"/>
          <w:szCs w:val="24"/>
        </w:rPr>
        <w:t>Resnički</w:t>
      </w:r>
      <w:proofErr w:type="spellEnd"/>
      <w:r w:rsidR="00336FDF" w:rsidRPr="00E364A8">
        <w:rPr>
          <w:rFonts w:ascii="Times New Roman" w:hAnsi="Times New Roman"/>
          <w:sz w:val="24"/>
          <w:szCs w:val="24"/>
        </w:rPr>
        <w:t xml:space="preserve"> gaj,</w:t>
      </w:r>
    </w:p>
    <w:p w:rsidR="001958C4" w:rsidRPr="00E364A8" w:rsidRDefault="004E5710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Stari Retkovec, Sesvetska </w:t>
      </w:r>
      <w:proofErr w:type="spellStart"/>
      <w:r w:rsidRPr="00E364A8">
        <w:rPr>
          <w:rFonts w:ascii="Times New Roman" w:hAnsi="Times New Roman"/>
          <w:sz w:val="24"/>
          <w:szCs w:val="24"/>
        </w:rPr>
        <w:t>Selnica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Popovec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Soblinec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Vugrovec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Donji,Vidovec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Kašina</w:t>
      </w:r>
      <w:proofErr w:type="spellEnd"/>
      <w:r w:rsidRPr="00E364A8">
        <w:rPr>
          <w:rFonts w:ascii="Times New Roman" w:hAnsi="Times New Roman"/>
          <w:sz w:val="24"/>
          <w:szCs w:val="24"/>
        </w:rPr>
        <w:t>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mjesnih odbora):</w:t>
      </w:r>
    </w:p>
    <w:p w:rsidR="00336FDF" w:rsidRPr="00E364A8" w:rsidRDefault="00336FDF" w:rsidP="00336FD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364A8">
        <w:rPr>
          <w:rFonts w:ascii="Times New Roman" w:hAnsi="Times New Roman"/>
          <w:sz w:val="24"/>
          <w:szCs w:val="24"/>
        </w:rPr>
        <w:t>Ježdovec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Horvati, </w:t>
      </w:r>
      <w:proofErr w:type="spellStart"/>
      <w:r w:rsidRPr="00E364A8">
        <w:rPr>
          <w:rFonts w:ascii="Times New Roman" w:hAnsi="Times New Roman"/>
          <w:sz w:val="24"/>
          <w:szCs w:val="24"/>
        </w:rPr>
        <w:t>Demerje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Kozari Putevi, Ivanja Reka, </w:t>
      </w:r>
      <w:proofErr w:type="spellStart"/>
      <w:r w:rsidRPr="00E364A8">
        <w:rPr>
          <w:rFonts w:ascii="Times New Roman" w:hAnsi="Times New Roman"/>
          <w:sz w:val="24"/>
          <w:szCs w:val="24"/>
        </w:rPr>
        <w:t>Jelkovec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Dumovec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Dobrodol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Budenec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Cerje-Sesvete, </w:t>
      </w:r>
      <w:proofErr w:type="spellStart"/>
      <w:r w:rsidRPr="00E364A8">
        <w:rPr>
          <w:rFonts w:ascii="Times New Roman" w:hAnsi="Times New Roman"/>
          <w:sz w:val="24"/>
          <w:szCs w:val="24"/>
        </w:rPr>
        <w:t>Drenčec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Glavničica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Lužan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Belovar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Žerjavinec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Gajec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Vurnovec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Prepuštovec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Đurđekovec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Vugrovec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Gornji, </w:t>
      </w:r>
      <w:proofErr w:type="spellStart"/>
      <w:r w:rsidRPr="00E364A8">
        <w:rPr>
          <w:rFonts w:ascii="Times New Roman" w:hAnsi="Times New Roman"/>
          <w:sz w:val="24"/>
          <w:szCs w:val="24"/>
        </w:rPr>
        <w:t>Prekvršje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Adamovec</w:t>
      </w:r>
      <w:proofErr w:type="spellEnd"/>
      <w:r w:rsidRPr="00E364A8">
        <w:rPr>
          <w:rFonts w:ascii="Times New Roman" w:hAnsi="Times New Roman"/>
          <w:sz w:val="24"/>
          <w:szCs w:val="24"/>
        </w:rPr>
        <w:t>, Moravče, Glavnica Donja.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NoSpacing"/>
        <w:numPr>
          <w:ilvl w:val="0"/>
          <w:numId w:val="2"/>
        </w:numPr>
      </w:pPr>
      <w:r w:rsidRPr="00E364A8">
        <w:rPr>
          <w:rFonts w:ascii="Times New Roman" w:hAnsi="Times New Roman"/>
          <w:b/>
          <w:sz w:val="24"/>
          <w:szCs w:val="24"/>
        </w:rPr>
        <w:t>ZONA</w:t>
      </w:r>
      <w:r w:rsidRPr="00E364A8">
        <w:rPr>
          <w:rFonts w:ascii="Times New Roman" w:hAnsi="Times New Roman"/>
          <w:sz w:val="24"/>
          <w:szCs w:val="24"/>
        </w:rPr>
        <w:t xml:space="preserve"> obuhvaća sljedeća gradska područja (područja mjesnih odbora):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336FD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Planina Gornja, Planina Donja, </w:t>
      </w:r>
      <w:proofErr w:type="spellStart"/>
      <w:r w:rsidRPr="00E364A8">
        <w:rPr>
          <w:rFonts w:ascii="Times New Roman" w:hAnsi="Times New Roman"/>
          <w:sz w:val="24"/>
          <w:szCs w:val="24"/>
        </w:rPr>
        <w:t>Goranec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Kučilovina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Kašinska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Sopnica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Šimunčevec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Paruževina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Blaguša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Glavnica Gornja, </w:t>
      </w:r>
      <w:proofErr w:type="spellStart"/>
      <w:r w:rsidRPr="00E364A8">
        <w:rPr>
          <w:rFonts w:ascii="Times New Roman" w:hAnsi="Times New Roman"/>
          <w:sz w:val="24"/>
          <w:szCs w:val="24"/>
        </w:rPr>
        <w:t>Jesenovec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Šašinovec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Kupinečki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II., </w:t>
      </w:r>
      <w:proofErr w:type="spellStart"/>
      <w:r w:rsidRPr="00E364A8">
        <w:rPr>
          <w:rFonts w:ascii="Times New Roman" w:hAnsi="Times New Roman"/>
          <w:sz w:val="24"/>
          <w:szCs w:val="24"/>
        </w:rPr>
        <w:t>Kupinečki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-centar, </w:t>
      </w:r>
      <w:proofErr w:type="spellStart"/>
      <w:r w:rsidRPr="00E364A8">
        <w:rPr>
          <w:rFonts w:ascii="Times New Roman" w:hAnsi="Times New Roman"/>
          <w:sz w:val="24"/>
          <w:szCs w:val="24"/>
        </w:rPr>
        <w:t>Kupinečki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64A8">
        <w:rPr>
          <w:rFonts w:ascii="Times New Roman" w:hAnsi="Times New Roman"/>
          <w:sz w:val="24"/>
          <w:szCs w:val="24"/>
        </w:rPr>
        <w:t>Kraljevec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I., Odranski </w:t>
      </w:r>
      <w:proofErr w:type="spellStart"/>
      <w:r w:rsidRPr="00E364A8">
        <w:rPr>
          <w:rFonts w:ascii="Times New Roman" w:hAnsi="Times New Roman"/>
          <w:sz w:val="24"/>
          <w:szCs w:val="24"/>
        </w:rPr>
        <w:t>Strmec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Trpuci, </w:t>
      </w:r>
      <w:proofErr w:type="spellStart"/>
      <w:r w:rsidRPr="00E364A8">
        <w:rPr>
          <w:rFonts w:ascii="Times New Roman" w:hAnsi="Times New Roman"/>
          <w:sz w:val="24"/>
          <w:szCs w:val="24"/>
        </w:rPr>
        <w:t>Lipnica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Havidići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364A8">
        <w:rPr>
          <w:rFonts w:ascii="Times New Roman" w:hAnsi="Times New Roman"/>
          <w:sz w:val="24"/>
          <w:szCs w:val="24"/>
        </w:rPr>
        <w:t>Dragonožec</w:t>
      </w:r>
      <w:proofErr w:type="spellEnd"/>
      <w:r w:rsidRPr="00E364A8">
        <w:rPr>
          <w:rFonts w:ascii="Times New Roman" w:hAnsi="Times New Roman"/>
          <w:sz w:val="24"/>
          <w:szCs w:val="24"/>
        </w:rPr>
        <w:t>.</w:t>
      </w:r>
    </w:p>
    <w:p w:rsidR="001958C4" w:rsidRPr="00E364A8" w:rsidRDefault="001958C4">
      <w:pPr>
        <w:pStyle w:val="NoSpacing"/>
        <w:rPr>
          <w:rFonts w:ascii="Times New Roman" w:hAnsi="Times New Roman"/>
          <w:sz w:val="24"/>
          <w:szCs w:val="24"/>
        </w:rPr>
      </w:pPr>
    </w:p>
    <w:p w:rsidR="001958C4" w:rsidRPr="00E364A8" w:rsidRDefault="001958C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KOEFICIJENT ZONA</w:t>
      </w:r>
    </w:p>
    <w:p w:rsidR="001958C4" w:rsidRPr="00E364A8" w:rsidRDefault="004E57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7.</w:t>
      </w:r>
    </w:p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 Koeficijent zone (</w:t>
      </w:r>
      <w:proofErr w:type="spellStart"/>
      <w:r w:rsidRPr="00E364A8">
        <w:rPr>
          <w:rFonts w:ascii="Times New Roman" w:hAnsi="Times New Roman"/>
          <w:sz w:val="24"/>
          <w:szCs w:val="24"/>
        </w:rPr>
        <w:t>Kz</w:t>
      </w:r>
      <w:proofErr w:type="spellEnd"/>
      <w:r w:rsidRPr="00E364A8">
        <w:rPr>
          <w:rFonts w:ascii="Times New Roman" w:hAnsi="Times New Roman"/>
          <w:sz w:val="24"/>
          <w:szCs w:val="24"/>
        </w:rPr>
        <w:t>) iznosi za:</w:t>
      </w: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1,00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0,95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ZONU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0,80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0,65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ZONU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0,55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lastRenderedPageBreak/>
        <w:t xml:space="preserve">ZONU  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0,45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 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0,35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0,30</w:t>
      </w:r>
    </w:p>
    <w:p w:rsidR="001958C4" w:rsidRPr="00E364A8" w:rsidRDefault="004E5710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ZONU </w:t>
      </w:r>
      <w:r w:rsidRPr="00E364A8">
        <w:rPr>
          <w:rFonts w:ascii="Times New Roman" w:hAnsi="Times New Roman"/>
          <w:sz w:val="24"/>
          <w:szCs w:val="24"/>
        </w:rPr>
        <w:tab/>
      </w:r>
      <w:r w:rsidRPr="00E364A8">
        <w:rPr>
          <w:rFonts w:ascii="Times New Roman" w:hAnsi="Times New Roman"/>
          <w:sz w:val="24"/>
          <w:szCs w:val="24"/>
        </w:rPr>
        <w:tab/>
        <w:t>0,20</w:t>
      </w:r>
    </w:p>
    <w:tbl>
      <w:tblPr>
        <w:tblW w:w="3368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992"/>
        <w:gridCol w:w="296"/>
        <w:gridCol w:w="1263"/>
      </w:tblGrid>
      <w:tr w:rsidR="001958C4" w:rsidRPr="00E364A8"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Koeficijent zone za nekretnine koje se nalaze na granicama dviju zona određuje se prema zoni koja ima niži koeficijent.</w:t>
      </w: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KOEFICIJENT NAMJENE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lk533064098"/>
      <w:r w:rsidRPr="00E364A8">
        <w:rPr>
          <w:rFonts w:ascii="Times New Roman" w:hAnsi="Times New Roman"/>
          <w:b/>
          <w:sz w:val="24"/>
          <w:szCs w:val="24"/>
        </w:rPr>
        <w:t>Članak 8.</w:t>
      </w:r>
    </w:p>
    <w:bookmarkEnd w:id="1"/>
    <w:p w:rsidR="001958C4" w:rsidRPr="00E364A8" w:rsidRDefault="004E5710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Koeficijent namjene (Kn) ovisno o vrsti nekretnine i djelatnosti koja se obavlja iznosi za:</w:t>
      </w:r>
    </w:p>
    <w:p w:rsidR="001958C4" w:rsidRPr="00E364A8" w:rsidRDefault="001958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1. stambeni prostor             1,00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2. stambeni i poslovni prostor kojim se koriste neprofitne udruge građana  1,00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3. garažni prostor</w:t>
      </w:r>
      <w:r w:rsidRPr="00E364A8">
        <w:rPr>
          <w:rFonts w:ascii="Times New Roman" w:hAnsi="Times New Roman"/>
          <w:sz w:val="24"/>
          <w:szCs w:val="24"/>
        </w:rPr>
        <w:tab/>
        <w:t xml:space="preserve">         1,00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4. poslovni prostor koji služi za proizvodne djelatnosti  od 3,00 od 5,00 sukladno člancima 12., 13. i 16. ove odluke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5. </w:t>
      </w:r>
      <w:bookmarkStart w:id="2" w:name="_Hlk531869848"/>
      <w:r w:rsidRPr="00E364A8">
        <w:rPr>
          <w:rFonts w:ascii="Times New Roman" w:hAnsi="Times New Roman"/>
          <w:sz w:val="24"/>
          <w:szCs w:val="24"/>
        </w:rPr>
        <w:t xml:space="preserve">poslovni prostor koji služi za djelatnosti  koje nisu proizvodne od  </w:t>
      </w:r>
      <w:bookmarkEnd w:id="2"/>
      <w:r w:rsidRPr="00E364A8">
        <w:rPr>
          <w:rFonts w:ascii="Times New Roman" w:hAnsi="Times New Roman"/>
          <w:sz w:val="24"/>
          <w:szCs w:val="24"/>
        </w:rPr>
        <w:t>7,00 do 10,00 sukladno člancima 14., 15. i 16. ove odluke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6. građevinsko zemljište koje služi obavljanju poslovne djelatnosti  iznosi 10% koeficijenta namjene koji je određen za pojedini poslovni prostor</w:t>
      </w:r>
    </w:p>
    <w:p w:rsidR="001958C4" w:rsidRPr="00E364A8" w:rsidRDefault="004E5710" w:rsidP="00E364A8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7. neizgrađeno građevinsko zemljište</w:t>
      </w:r>
      <w:r w:rsidRPr="00E364A8">
        <w:rPr>
          <w:rFonts w:ascii="Times New Roman" w:hAnsi="Times New Roman"/>
          <w:sz w:val="24"/>
          <w:szCs w:val="24"/>
        </w:rPr>
        <w:tab/>
        <w:t xml:space="preserve"> 0,05</w:t>
      </w:r>
    </w:p>
    <w:p w:rsidR="001958C4" w:rsidRPr="00E364A8" w:rsidRDefault="001958C4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3" w:name="_Hlk531944370"/>
    </w:p>
    <w:p w:rsidR="001958C4" w:rsidRDefault="004E5710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9.</w:t>
      </w:r>
    </w:p>
    <w:p w:rsidR="00807D33" w:rsidRPr="00E364A8" w:rsidRDefault="00807D33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 w:rsidP="007F1FE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Za hotele, apartmanska naselja i kampove visina godišnje komunalne naknade ne može biti veća od 1,5% ukupnoga godišnjeg prihoda iz prethodne godine, ostvarenog u hotelima, apartmanskim naseljima i kampovima u Gradu Zagrebu.</w:t>
      </w:r>
    </w:p>
    <w:p w:rsidR="001958C4" w:rsidRPr="00E364A8" w:rsidRDefault="001958C4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Default="004E5710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4" w:name="_Hlk533151352"/>
      <w:r w:rsidRPr="00E364A8">
        <w:rPr>
          <w:rFonts w:ascii="Times New Roman" w:hAnsi="Times New Roman"/>
          <w:b/>
          <w:sz w:val="24"/>
          <w:szCs w:val="24"/>
        </w:rPr>
        <w:t>Članak 10.</w:t>
      </w:r>
    </w:p>
    <w:p w:rsidR="006F1990" w:rsidRPr="00E364A8" w:rsidRDefault="006F1990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bookmarkEnd w:id="4"/>
    <w:p w:rsidR="001958C4" w:rsidRPr="00E364A8" w:rsidRDefault="004E5710" w:rsidP="007F1FE6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Za poslovni prostor i građevinsko zemljište koje služi obavljanju poslovne djelatnosti, kad se poslovna djelatnost ne obavlja više od šest mjeseci u kalendarskoj godini, koeficijent namjene umanjuje se za 50%, ali ne može biti manji od koeficijenta namjene za stambeni prostor odnosno za neizgrađeno građevinsko zemljište.</w:t>
      </w:r>
    </w:p>
    <w:p w:rsidR="001958C4" w:rsidRPr="00E364A8" w:rsidRDefault="004E5710">
      <w:pPr>
        <w:suppressAutoHyphens w:val="0"/>
        <w:spacing w:before="240"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Ako se za  poslovni prostor koji se ne koristi ne može utvrditi poslovna djelatnost koeficijent namjene za obračun komunalne naknade iznosi 3,0.</w:t>
      </w:r>
    </w:p>
    <w:p w:rsidR="001958C4" w:rsidRPr="00E364A8" w:rsidRDefault="004E5710" w:rsidP="00D473A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Iznimno za poslovne prostore iz stavka 2. ovoga članka koji se nalaze u I. i II. zoni koeficijent namjene za obračun komunalne naknade iznosi 7,0 a ako se u njima započne obavljanje poslovne djelatnosti, odnosno korištenje poslovnog prostora za obračun komunalne naknade za </w:t>
      </w:r>
      <w:r w:rsidRPr="00E364A8">
        <w:rPr>
          <w:rFonts w:ascii="Times New Roman" w:hAnsi="Times New Roman"/>
          <w:sz w:val="24"/>
          <w:szCs w:val="24"/>
        </w:rPr>
        <w:lastRenderedPageBreak/>
        <w:t>prvu godinu</w:t>
      </w:r>
      <w:r w:rsidR="00D473A4" w:rsidRPr="00E364A8">
        <w:rPr>
          <w:rFonts w:ascii="Times New Roman" w:hAnsi="Times New Roman"/>
          <w:sz w:val="24"/>
          <w:szCs w:val="24"/>
        </w:rPr>
        <w:t>,</w:t>
      </w:r>
      <w:r w:rsidRPr="00E364A8">
        <w:rPr>
          <w:rFonts w:ascii="Times New Roman" w:hAnsi="Times New Roman"/>
          <w:sz w:val="24"/>
          <w:szCs w:val="24"/>
        </w:rPr>
        <w:t xml:space="preserve"> od dana podnošenja prijedloga vlasnika, odnosno korisnika poslovnog prostora koeficijent namjene  iznosi 1,00.</w:t>
      </w:r>
    </w:p>
    <w:p w:rsidR="001958C4" w:rsidRPr="00E364A8" w:rsidRDefault="004E5710">
      <w:pPr>
        <w:suppressAutoHyphens w:val="0"/>
        <w:spacing w:before="100" w:after="0"/>
        <w:jc w:val="both"/>
        <w:textAlignment w:val="auto"/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Prije utvrđivanja obveze plaćanja komunalne naknade  može se provoditi očevid radi utvrđivanja  činjenica i okolnosti bitnih za donošenje rješenja o komunalnoj naknadi.  </w:t>
      </w:r>
    </w:p>
    <w:bookmarkEnd w:id="3"/>
    <w:p w:rsidR="00D473A4" w:rsidRPr="00E364A8" w:rsidRDefault="00D473A4" w:rsidP="00E3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58C4" w:rsidRDefault="004E5710" w:rsidP="00E364A8">
      <w:pPr>
        <w:spacing w:after="0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Članak 11.</w:t>
      </w:r>
    </w:p>
    <w:p w:rsidR="00E364A8" w:rsidRDefault="00E364A8" w:rsidP="00E364A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F48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4E5710" w:rsidRPr="00E364A8">
        <w:rPr>
          <w:rFonts w:ascii="Times New Roman" w:hAnsi="Times New Roman"/>
          <w:sz w:val="24"/>
          <w:szCs w:val="24"/>
        </w:rPr>
        <w:t>a poslovne prostore iz članka 8. točaka 4. i 5. ove odluke</w:t>
      </w:r>
      <w:r w:rsidRPr="004F48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</w:t>
      </w:r>
      <w:r w:rsidRPr="004F489C">
        <w:rPr>
          <w:rFonts w:ascii="Times New Roman" w:hAnsi="Times New Roman"/>
          <w:sz w:val="24"/>
          <w:szCs w:val="24"/>
        </w:rPr>
        <w:t>oeficijent namjene</w:t>
      </w:r>
      <w:r w:rsidR="004E5710" w:rsidRPr="00E364A8">
        <w:rPr>
          <w:rFonts w:ascii="Times New Roman" w:hAnsi="Times New Roman"/>
          <w:sz w:val="24"/>
          <w:szCs w:val="24"/>
        </w:rPr>
        <w:t xml:space="preserve"> određuje se ovisno o djelatnosti koja se obavlja u poslovnom prostoru.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Kada obveznik komunalne naknade u poslovnom prostoru obavlja više djelatnosti koeficijent namjene utvrđuje se prema djelatnosti kojom se pretežito bavi.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12.</w:t>
      </w:r>
    </w:p>
    <w:p w:rsidR="001958C4" w:rsidRPr="00E364A8" w:rsidRDefault="004E5710">
      <w:r w:rsidRPr="00E364A8">
        <w:rPr>
          <w:rFonts w:ascii="Times New Roman" w:hAnsi="Times New Roman"/>
          <w:sz w:val="24"/>
          <w:szCs w:val="24"/>
        </w:rPr>
        <w:t xml:space="preserve">Koeficijent namjene (Kn) za poslovni prostor koji služi za </w:t>
      </w:r>
      <w:r w:rsidRPr="00E364A8">
        <w:rPr>
          <w:rFonts w:ascii="Times New Roman" w:hAnsi="Times New Roman"/>
          <w:i/>
          <w:sz w:val="24"/>
          <w:szCs w:val="24"/>
        </w:rPr>
        <w:t>proizvodne djelatnosti</w:t>
      </w:r>
      <w:r w:rsidRPr="00E364A8">
        <w:rPr>
          <w:rFonts w:ascii="Times New Roman" w:hAnsi="Times New Roman"/>
          <w:sz w:val="24"/>
          <w:szCs w:val="24"/>
        </w:rPr>
        <w:t xml:space="preserve"> iznosi:</w:t>
      </w:r>
    </w:p>
    <w:tbl>
      <w:tblPr>
        <w:tblW w:w="8590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6516"/>
        <w:gridCol w:w="1678"/>
      </w:tblGrid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36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elektroprivreda,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ugljena,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prerada ugljena,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nafte i plina,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naftnih derivata,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željezne rude,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crna metalurgija,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ruda obojenih metala,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obojenih metala,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prerada obojenih metala,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nemetalnih minerala,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prerada nemetalnih minerala,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brodogradnja,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osnovnih kemijskih proizvoda,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prerada kemijskih proizvoda,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kože i krzna,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prerada kaučuka.                                                    5,00</w:t>
            </w:r>
          </w:p>
          <w:p w:rsidR="001958C4" w:rsidRPr="00E364A8" w:rsidRDefault="00195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195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36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kamena, šljunka i pijeska,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građevnog materijala,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rezane građe i ploča,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šumarstvo,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visokogradnja,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 xml:space="preserve">- niskogradnja i </w:t>
            </w:r>
            <w:proofErr w:type="spellStart"/>
            <w:r w:rsidRPr="00E364A8">
              <w:rPr>
                <w:rFonts w:ascii="Times New Roman" w:hAnsi="Times New Roman"/>
                <w:sz w:val="24"/>
                <w:szCs w:val="24"/>
              </w:rPr>
              <w:t>hidrogradnja</w:t>
            </w:r>
            <w:proofErr w:type="spellEnd"/>
            <w:r w:rsidRPr="00E364A8">
              <w:rPr>
                <w:rFonts w:ascii="Times New Roman" w:hAnsi="Times New Roman"/>
                <w:sz w:val="24"/>
                <w:szCs w:val="24"/>
              </w:rPr>
              <w:t xml:space="preserve">                                  4,50</w:t>
            </w:r>
          </w:p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metaloprerađivačka djelatnost,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strojogradnja,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prometnih sredstava,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i prerada duhana,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pića,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i prerada papira.                                4,00</w:t>
            </w:r>
          </w:p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finalnih proizvoda od drveta,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električnih strojeva i aparata,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stočne hrane,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instalacijski i završni radovi u građevinarstvu        3,50</w:t>
            </w:r>
          </w:p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1958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E364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prehrambenih proizvoda,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tekstilnih prediva i tkanina,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gotovih tekstilnih proizvoda,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proizvodnja kožne obuće i galanterije,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poljoprivredna proizvodnja,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grafička djelatnost,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ribarstvo.                                                                    3,00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1958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13.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 Koeficijent namjene za proizvodne djelatnosti koje nisu navedene u članku 12. ove odluke iznosi 3,0.</w:t>
      </w:r>
    </w:p>
    <w:p w:rsidR="001958C4" w:rsidRPr="00E364A8" w:rsidRDefault="001958C4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Default="004E5710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14.</w:t>
      </w:r>
    </w:p>
    <w:p w:rsidR="00E364A8" w:rsidRPr="00E364A8" w:rsidRDefault="00E364A8" w:rsidP="00E364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>
      <w:r w:rsidRPr="00E364A8">
        <w:t> </w:t>
      </w:r>
      <w:r w:rsidRPr="00E364A8">
        <w:rPr>
          <w:rFonts w:ascii="Times New Roman" w:hAnsi="Times New Roman"/>
          <w:sz w:val="24"/>
          <w:szCs w:val="24"/>
        </w:rPr>
        <w:t>Koeficijent namjene za</w:t>
      </w:r>
      <w:r w:rsidRPr="00E364A8">
        <w:t xml:space="preserve"> </w:t>
      </w:r>
      <w:r w:rsidRPr="00E364A8">
        <w:rPr>
          <w:rFonts w:ascii="Times New Roman" w:hAnsi="Times New Roman"/>
          <w:sz w:val="24"/>
          <w:szCs w:val="24"/>
        </w:rPr>
        <w:t>poslovni prostor koji služi za djelatnosti koje nisu proizvodne iznosi:</w:t>
      </w:r>
    </w:p>
    <w:tbl>
      <w:tblPr>
        <w:tblW w:w="8590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6516"/>
        <w:gridCol w:w="1678"/>
      </w:tblGrid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ugostiteljstvo (ugostiteljske usluge smještaja, prehrane i ostale  ugostiteljske usluge),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vanjska trgovina,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turističko posredovanje,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bankarstvo,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osiguranje imovine i osoba,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prometne usluge,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usluge parkiranja u javnim garažama (parkirna mjesta)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 xml:space="preserve">- poslovne usluge, </w:t>
            </w:r>
          </w:p>
          <w:p w:rsidR="001958C4" w:rsidRPr="00E364A8" w:rsidRDefault="004E5710">
            <w:pPr>
              <w:spacing w:after="0"/>
            </w:pPr>
            <w:r w:rsidRPr="00E364A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364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Pr="00E364A8">
              <w:rPr>
                <w:rFonts w:ascii="Times New Roman" w:hAnsi="Times New Roman"/>
                <w:sz w:val="24"/>
                <w:szCs w:val="24"/>
              </w:rPr>
              <w:t>slobodne djelatnosti osim umjetničkih</w:t>
            </w:r>
            <w:r w:rsidRPr="00E364A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djelatnosti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zračni promet,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telekomunikacije.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10,00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pretovarne usluge,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cestovni promet.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9,50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trgovina na veliko,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poljoprivredne usluge,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trgovina na malo osim trgovine na malo prehrambenim proizvodima.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9,00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vodoprivreda,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željeznički promet,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cjevovodni prijevoz,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poštanske usluge,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pomorski promet,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riječni i jezerski promet,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gradski promet,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osobne usluge i usluge kućanstvima,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trgovina na malo prehrambenim proizvodima,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sakupljanje i prerada industrijskih otpadaka.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8,50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364A8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uređivanje naselja i prostora,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projektiranje i srodne tehničke usluge,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- komunalne djelatnosti,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711EDF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stambena djelatnost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07D33" w:rsidRDefault="004E5710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8DC">
              <w:rPr>
                <w:rFonts w:ascii="Times New Roman" w:hAnsi="Times New Roman"/>
                <w:sz w:val="24"/>
                <w:szCs w:val="24"/>
              </w:rPr>
              <w:t>iznosi 8,00</w:t>
            </w:r>
          </w:p>
          <w:p w:rsidR="00807D33" w:rsidRPr="00A078DC" w:rsidRDefault="00807D33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1958C4" w:rsidP="00807D3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FA62EE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8D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E5710" w:rsidRPr="00E364A8">
              <w:rPr>
                <w:rFonts w:ascii="Times New Roman" w:hAnsi="Times New Roman"/>
                <w:sz w:val="24"/>
                <w:szCs w:val="24"/>
              </w:rPr>
              <w:t>- obrtničke usluge i popravci</w:t>
            </w:r>
          </w:p>
          <w:p w:rsidR="001958C4" w:rsidRPr="00E364A8" w:rsidRDefault="001958C4" w:rsidP="00807D3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A078DC" w:rsidRDefault="004E5710" w:rsidP="00807D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8DC">
              <w:rPr>
                <w:rFonts w:ascii="Times New Roman" w:hAnsi="Times New Roman"/>
                <w:sz w:val="24"/>
                <w:szCs w:val="24"/>
              </w:rPr>
              <w:t>iznosi 7,00</w:t>
            </w:r>
          </w:p>
        </w:tc>
      </w:tr>
    </w:tbl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15.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 Koeficijent namjene za poslovne prostore koji nisu navedeni u članku 14. ove odluke iznosi 7,00.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807D33">
        <w:rPr>
          <w:rFonts w:ascii="Times New Roman" w:hAnsi="Times New Roman"/>
          <w:b/>
          <w:sz w:val="24"/>
          <w:szCs w:val="24"/>
        </w:rPr>
        <w:t>Članak 16.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 Iznimno od  članaka </w:t>
      </w:r>
      <w:r w:rsidR="00635917">
        <w:rPr>
          <w:rFonts w:ascii="Times New Roman" w:hAnsi="Times New Roman"/>
          <w:sz w:val="24"/>
          <w:szCs w:val="24"/>
        </w:rPr>
        <w:t xml:space="preserve"> 8. točka 4. i 5.</w:t>
      </w:r>
      <w:r w:rsidRPr="00E364A8">
        <w:rPr>
          <w:rFonts w:ascii="Times New Roman" w:hAnsi="Times New Roman"/>
          <w:sz w:val="24"/>
          <w:szCs w:val="24"/>
        </w:rPr>
        <w:t xml:space="preserve"> ove odluke koeficijent namjene iznosi za:</w:t>
      </w:r>
    </w:p>
    <w:tbl>
      <w:tblPr>
        <w:tblW w:w="8590" w:type="dxa"/>
        <w:tblInd w:w="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6516"/>
        <w:gridCol w:w="1678"/>
      </w:tblGrid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zgrade međunarodnih organizacija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5,00</w:t>
            </w:r>
          </w:p>
        </w:tc>
      </w:tr>
      <w:tr w:rsidR="001958C4" w:rsidRPr="00E364A8"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8C4" w:rsidRPr="00E364A8" w:rsidRDefault="004E57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 xml:space="preserve">željezničke koridore utvrđene prostornim planom ako ih održavaju Hrvatske željeznice, zemljište i prostor što služi za obavljanje djelatnosti: tjelesne kulture i športa, umjetnička bravarija, dimnjačarstvo, izrada čipaka, izrada gornjih dijelova obuće i popravak obuće, izrada i popravak glazbala, izrada i popravak ortopedskih pomagala, izrada šešira, kemijske čistionice, keramičarska i </w:t>
            </w:r>
            <w:proofErr w:type="spellStart"/>
            <w:r w:rsidRPr="00E364A8">
              <w:rPr>
                <w:rFonts w:ascii="Times New Roman" w:hAnsi="Times New Roman"/>
                <w:sz w:val="24"/>
                <w:szCs w:val="24"/>
              </w:rPr>
              <w:t>pečarska</w:t>
            </w:r>
            <w:proofErr w:type="spellEnd"/>
            <w:r w:rsidRPr="00E364A8">
              <w:rPr>
                <w:rFonts w:ascii="Times New Roman" w:hAnsi="Times New Roman"/>
                <w:sz w:val="24"/>
                <w:szCs w:val="24"/>
              </w:rPr>
              <w:t>, kolarska, kovačka, krojačka, djelatnost za narodna odijela (proizvodnja i obavljanje usluga),krpanje rublja i tkanina, pedikerska, pilari ogrjevnog drveta, plisiranje, popravak čarapa, popravak kišobrana, popravak roleta, pranje i glačanje rublja, presvlačenje gumbi, stolarija (izrada i popravak umjetnina i drugi popravci), tapetarska i dekoraterska, urarska, vlasuljarska, umjetnička djelatnost.</w:t>
            </w:r>
          </w:p>
        </w:tc>
        <w:tc>
          <w:tcPr>
            <w:tcW w:w="1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958C4" w:rsidRPr="00E364A8" w:rsidRDefault="004E5710">
            <w:pPr>
              <w:rPr>
                <w:rFonts w:ascii="Times New Roman" w:hAnsi="Times New Roman"/>
                <w:sz w:val="24"/>
                <w:szCs w:val="24"/>
              </w:rPr>
            </w:pPr>
            <w:r w:rsidRPr="00E364A8">
              <w:rPr>
                <w:rFonts w:ascii="Times New Roman" w:hAnsi="Times New Roman"/>
                <w:sz w:val="24"/>
                <w:szCs w:val="24"/>
              </w:rPr>
              <w:t>iznosi 1,00</w:t>
            </w:r>
          </w:p>
        </w:tc>
      </w:tr>
    </w:tbl>
    <w:p w:rsidR="001958C4" w:rsidRDefault="001958C4">
      <w:pPr>
        <w:jc w:val="center"/>
        <w:rPr>
          <w:rFonts w:ascii="Times New Roman" w:hAnsi="Times New Roman"/>
          <w:sz w:val="24"/>
          <w:szCs w:val="24"/>
        </w:rPr>
      </w:pPr>
    </w:p>
    <w:p w:rsidR="00807D33" w:rsidRDefault="00807D33">
      <w:pPr>
        <w:jc w:val="center"/>
        <w:rPr>
          <w:rFonts w:ascii="Times New Roman" w:hAnsi="Times New Roman"/>
          <w:sz w:val="24"/>
          <w:szCs w:val="24"/>
        </w:rPr>
      </w:pPr>
    </w:p>
    <w:p w:rsidR="00807D33" w:rsidRDefault="00807D33">
      <w:pPr>
        <w:jc w:val="center"/>
        <w:rPr>
          <w:rFonts w:ascii="Times New Roman" w:hAnsi="Times New Roman"/>
          <w:sz w:val="24"/>
          <w:szCs w:val="24"/>
        </w:rPr>
      </w:pPr>
    </w:p>
    <w:p w:rsidR="00807D33" w:rsidRDefault="00807D33">
      <w:pPr>
        <w:jc w:val="center"/>
        <w:rPr>
          <w:rFonts w:ascii="Times New Roman" w:hAnsi="Times New Roman"/>
          <w:sz w:val="24"/>
          <w:szCs w:val="24"/>
        </w:rPr>
      </w:pPr>
      <w:bookmarkStart w:id="5" w:name="_GoBack"/>
      <w:bookmarkEnd w:id="5"/>
    </w:p>
    <w:p w:rsidR="001958C4" w:rsidRPr="00E364A8" w:rsidRDefault="004E5710">
      <w:pPr>
        <w:jc w:val="both"/>
      </w:pPr>
      <w:r w:rsidRPr="00E364A8">
        <w:rPr>
          <w:rFonts w:ascii="Times New Roman" w:hAnsi="Times New Roman"/>
          <w:sz w:val="24"/>
          <w:szCs w:val="24"/>
        </w:rPr>
        <w:lastRenderedPageBreak/>
        <w:t> </w:t>
      </w:r>
      <w:r w:rsidRPr="00E364A8">
        <w:rPr>
          <w:rFonts w:ascii="Times New Roman" w:hAnsi="Times New Roman"/>
          <w:b/>
          <w:sz w:val="24"/>
          <w:szCs w:val="24"/>
        </w:rPr>
        <w:t>VII. NAČIN ODREĐIVANJA I ROKOVI PLAĆANJA KOMUNALNE NAKNADE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17.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Komunalna naknada obračunava se po četvornome metru (m²) površine nekretnine za koju se utvrđuje obveza plaćanja komunalne naknade, i to za: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1. stambeni, poslovni i garažni prostor po jedinici korisne površine koja se utvrđuje na način propisan posebnim propisom o uvjetima i mjerilima za utvrđivanje zaštićene najamnine</w:t>
      </w:r>
      <w:r w:rsidR="00D473A4" w:rsidRPr="00E364A8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:rsidR="001958C4" w:rsidRPr="00E364A8" w:rsidRDefault="004E5710">
      <w:pPr>
        <w:spacing w:after="135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2. građevinsko zemljište koje služi obavljanju poslovne djelatnosti i neizgrađeno građevinsko zemljište po jedinici stvarne površine.</w:t>
      </w:r>
    </w:p>
    <w:p w:rsidR="001958C4" w:rsidRPr="00E364A8" w:rsidRDefault="004E5710" w:rsidP="00D473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Iznos komunalne naknade po četvornome metru (m²) površine nekretnine utvrđuje se množenjem:</w:t>
      </w:r>
    </w:p>
    <w:p w:rsidR="001958C4" w:rsidRPr="00E364A8" w:rsidRDefault="004E5710" w:rsidP="00D473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- koeficijenta zone (</w:t>
      </w:r>
      <w:proofErr w:type="spellStart"/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Kz</w:t>
      </w:r>
      <w:proofErr w:type="spellEnd"/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),</w:t>
      </w:r>
    </w:p>
    <w:p w:rsidR="001958C4" w:rsidRPr="00E364A8" w:rsidRDefault="004E5710" w:rsidP="00D473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- koeficijenta namjene (Kn) i</w:t>
      </w:r>
    </w:p>
    <w:p w:rsidR="001958C4" w:rsidRPr="00E364A8" w:rsidRDefault="004E5710" w:rsidP="00D473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- vrijednosti boda komunalne naknade (B).</w:t>
      </w: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1958C4">
      <w:pPr>
        <w:spacing w:after="0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1</w:t>
      </w:r>
      <w:r w:rsidR="00807D33">
        <w:rPr>
          <w:rFonts w:ascii="Times New Roman" w:hAnsi="Times New Roman"/>
          <w:b/>
          <w:sz w:val="24"/>
          <w:szCs w:val="24"/>
        </w:rPr>
        <w:t>8</w:t>
      </w:r>
      <w:r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Komunalna se naknada plaća mjesečno, najkasnije do 15. u mjesecu za protekli mjesec.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Obveznik čije je ukupno zaduženje manje od 40,00 kuna godišnje, </w:t>
      </w:r>
      <w:r w:rsidRPr="004F489C">
        <w:rPr>
          <w:rFonts w:ascii="Times New Roman" w:hAnsi="Times New Roman"/>
          <w:sz w:val="24"/>
          <w:szCs w:val="24"/>
        </w:rPr>
        <w:t>plaća</w:t>
      </w:r>
      <w:r w:rsidRPr="00E364A8">
        <w:rPr>
          <w:rFonts w:ascii="Times New Roman" w:hAnsi="Times New Roman"/>
          <w:sz w:val="24"/>
          <w:szCs w:val="24"/>
        </w:rPr>
        <w:t xml:space="preserve"> komunalnu naknadu jednom godišnje. Obveza plaćanja dospijeva 15. prosinca za tekuću godinu.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Obveznik čije je ukupno zaduženje od 40,00 do 120,00 kuna godišnje, plaća komunalnu naknadu tromjesečno. Obveza plaćanja dospijeva 15. ožujka, 15. lipnja, 15. rujna i 15. prosinca za tekuću godinu.</w:t>
      </w:r>
    </w:p>
    <w:p w:rsidR="001958C4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Iznimno od stavka 3. ovoga članka obveznik komunalne naknade za stambeni prostor kojim se koristi na temelju ugovora o najmu sklopljenog s Gradom Zagrebom, plaća komunalnu naknadu mjesečno do 15. u mjesecu za protekli mjesec zajedno s najamninom.</w:t>
      </w:r>
    </w:p>
    <w:p w:rsidR="008221EF" w:rsidRPr="00E364A8" w:rsidRDefault="008221EF">
      <w:pPr>
        <w:jc w:val="both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RJEŠENJE O KOMUNALNOJ NAKNADI</w:t>
      </w:r>
    </w:p>
    <w:p w:rsidR="001958C4" w:rsidRPr="00E364A8" w:rsidRDefault="004E5710">
      <w:pPr>
        <w:pStyle w:val="ListParagraph"/>
        <w:ind w:left="1080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807D33">
        <w:rPr>
          <w:rFonts w:ascii="Times New Roman" w:hAnsi="Times New Roman"/>
          <w:b/>
          <w:sz w:val="24"/>
          <w:szCs w:val="24"/>
        </w:rPr>
        <w:t xml:space="preserve">                        Članak 19</w:t>
      </w:r>
      <w:r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Rješenje o komunalnoj naknadi donosi  gradsko upravno tijelo nadležno za komunalne poslove u skladu s  ovom odlukom i  odlukom o vrijednosti boda komunalne naknade (B) u postupku pokrenutom po službenoj dužnosti.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Rješenje iz stavka 1. ovoga članka donosi se do 31. ožujka tekuće godine ako se odlukom </w:t>
      </w:r>
      <w:r w:rsidR="00807D33">
        <w:rPr>
          <w:rFonts w:ascii="Times New Roman" w:hAnsi="Times New Roman"/>
          <w:sz w:val="24"/>
          <w:szCs w:val="24"/>
        </w:rPr>
        <w:t xml:space="preserve"> Gradske skupštine Grada Zagreba </w:t>
      </w:r>
      <w:r w:rsidRPr="00E364A8">
        <w:rPr>
          <w:rFonts w:ascii="Times New Roman" w:hAnsi="Times New Roman"/>
          <w:sz w:val="24"/>
          <w:szCs w:val="24"/>
        </w:rPr>
        <w:t>mijenja vrijednost boda komunalne naknade (B) ili drugi podatak bitan za njezin izračun u odnosu na prethodnu godinu te u slučaju promjene drugih podataka bitnih za utvrđivanje obveze plaćanja komunalne naknade.</w:t>
      </w:r>
    </w:p>
    <w:p w:rsidR="001958C4" w:rsidRDefault="004E5710" w:rsidP="007F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Rješenjem o komunalnoj naknadi utvrđuje se:</w:t>
      </w:r>
    </w:p>
    <w:p w:rsidR="007F1FE6" w:rsidRPr="00E364A8" w:rsidRDefault="007F1FE6" w:rsidP="007F1F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 w:rsidP="007F1FE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iznos komunalne naknade po četvornom metru (m²) nekretnine,</w:t>
      </w:r>
    </w:p>
    <w:p w:rsidR="001958C4" w:rsidRPr="00E364A8" w:rsidRDefault="004E5710" w:rsidP="007F1FE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obračunska površina nekretnine,</w:t>
      </w:r>
    </w:p>
    <w:p w:rsidR="001958C4" w:rsidRPr="00E364A8" w:rsidRDefault="004E5710" w:rsidP="007F1FE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godišnji iznos komunalne naknade,</w:t>
      </w:r>
    </w:p>
    <w:p w:rsidR="001958C4" w:rsidRPr="00E364A8" w:rsidRDefault="004E5710" w:rsidP="007F1FE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 mjesečni iznos komunalne naknade odnosno   iznos  obroka komunalne naknade ako se naknada ne plaća mjesečno i</w:t>
      </w:r>
    </w:p>
    <w:p w:rsidR="001958C4" w:rsidRPr="00E364A8" w:rsidRDefault="004E5710" w:rsidP="007F1FE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rok za plaćanje mjesečnog iznosa komunalne naknade odnosno iznosa obroka komunalne naknade ako se naknada ne plaća mjesečno.</w:t>
      </w:r>
    </w:p>
    <w:p w:rsidR="001958C4" w:rsidRPr="00E364A8" w:rsidRDefault="001958C4">
      <w:pPr>
        <w:pStyle w:val="ListParagraph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 w:rsidP="007F1FE6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Godišnji iznos komunalne naknade utvrđuje se množenjem površine nekretnine za koju se utvrđuje obveza plaćanja i iznosa komunalne naknade po </w:t>
      </w:r>
      <w:r w:rsidR="00951EEB" w:rsidRPr="00E364A8">
        <w:rPr>
          <w:rFonts w:ascii="Times New Roman" w:eastAsia="Times New Roman" w:hAnsi="Times New Roman"/>
          <w:sz w:val="24"/>
          <w:szCs w:val="24"/>
          <w:lang w:eastAsia="hr-HR"/>
        </w:rPr>
        <w:t>(</w:t>
      </w: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m²</w:t>
      </w:r>
      <w:r w:rsidR="00951EEB" w:rsidRPr="00E364A8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 površine nekretnine.</w:t>
      </w:r>
    </w:p>
    <w:p w:rsidR="001958C4" w:rsidRPr="00E364A8" w:rsidRDefault="004E5710" w:rsidP="007F1FE6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Rješenje iz stavka 1. ovoga članka donosi se i </w:t>
      </w:r>
      <w:proofErr w:type="spellStart"/>
      <w:r w:rsidRPr="00E364A8">
        <w:rPr>
          <w:rFonts w:ascii="Times New Roman" w:hAnsi="Times New Roman"/>
          <w:sz w:val="24"/>
          <w:szCs w:val="24"/>
        </w:rPr>
        <w:t>ovršava</w:t>
      </w:r>
      <w:proofErr w:type="spellEnd"/>
      <w:r w:rsidRPr="00E364A8">
        <w:rPr>
          <w:rFonts w:ascii="Times New Roman" w:hAnsi="Times New Roman"/>
          <w:sz w:val="24"/>
          <w:szCs w:val="24"/>
        </w:rPr>
        <w:t xml:space="preserve"> u postupku i na način propisan zakonom kojim se uređuje opći odnos između poreznih obveznika i poreznih tijela koja primjenjuju propise o porezima i drugim javnim davanjima ako Zakonom o komunalnom gospodarstvu nije propisano drugačije.</w:t>
      </w:r>
    </w:p>
    <w:p w:rsidR="001958C4" w:rsidRPr="00E364A8" w:rsidRDefault="004E5710" w:rsidP="007F1FE6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Ništavo je rješenje o komunalnoj naknadi koje nema sadržaj iz stavka 1. ovoga članka.</w:t>
      </w:r>
    </w:p>
    <w:p w:rsidR="001958C4" w:rsidRPr="00E364A8" w:rsidRDefault="004E5710" w:rsidP="007F1FE6">
      <w:pPr>
        <w:spacing w:after="135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Protiv rješenja o komunalnoj naknadi i rješenja o njegovoj ovrsi te rješenja o obustavi postupka može se izjaviti žalba o kojoj odlučuje središnje tijelo državne uprave nadležno za poslove komunalnog gospodarstva.</w:t>
      </w:r>
    </w:p>
    <w:p w:rsidR="001958C4" w:rsidRPr="00E364A8" w:rsidRDefault="001958C4">
      <w:pPr>
        <w:spacing w:after="135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>
      <w:pPr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IX. OSLOBAĐANJE OD PLAĆANJA KOMUNALNE NAKNADE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2</w:t>
      </w:r>
      <w:r w:rsidR="00807D33">
        <w:rPr>
          <w:rFonts w:ascii="Times New Roman" w:hAnsi="Times New Roman"/>
          <w:b/>
          <w:sz w:val="24"/>
          <w:szCs w:val="24"/>
        </w:rPr>
        <w:t>0</w:t>
      </w:r>
      <w:r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 Komunalna se naknada ne plaća za nekretnine: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1. koje se upotrebljavaju za djelatnost predškolskoga, osnovnoga, srednjega i visokog obrazovanja, muzeja i arhiva kojih je osnivač Grad Zagreb,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2. kojima se koriste privatne ustanove s pravom javnosti za djelatnost predškolskoga, osnovnoga i srednjega obrazovanja,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3. kojima se koriste ustanove zdravstvene zaštite i socijalne skrbi kojih je osnivač Grad Zagreb,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4. koje se upotrebljavaju za djelatnost vatrogasnih službi,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5. koje služe vjerskim zajednicama za obavljanje njihove vjerske i obrazovne djelatnost,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6. kojima se koriste, za službene potrebe, diplomatske misije i konzularni uredi,</w:t>
      </w:r>
    </w:p>
    <w:p w:rsidR="001958C4" w:rsidRPr="00E364A8" w:rsidRDefault="004E5710" w:rsidP="00951EEB">
      <w:pPr>
        <w:spacing w:after="0"/>
      </w:pPr>
      <w:r w:rsidRPr="00E364A8">
        <w:t xml:space="preserve">7. </w:t>
      </w:r>
      <w:r w:rsidRPr="00E364A8">
        <w:rPr>
          <w:rFonts w:ascii="Times New Roman" w:hAnsi="Times New Roman"/>
          <w:sz w:val="24"/>
          <w:szCs w:val="24"/>
        </w:rPr>
        <w:t>građevinsko zemljište i komunalnu infrastrukturu koja služi za obavljanje komunalnih djelatnosti</w:t>
      </w:r>
      <w:r w:rsidRPr="00E364A8">
        <w:t xml:space="preserve"> </w:t>
      </w:r>
      <w:r w:rsidRPr="00E364A8">
        <w:rPr>
          <w:rFonts w:ascii="Times New Roman" w:hAnsi="Times New Roman"/>
          <w:sz w:val="24"/>
          <w:szCs w:val="24"/>
        </w:rPr>
        <w:t>javnoga gradskog prijevoza, vodoopskrbe i odvodnje, odvodnje atmosferskih voda, održavanja čistoće javnih površina, održavanja nerazvrstanih cesta, odlaganja komunalnoga otpada, održavanja groblja i krematorija, osim uredskih prostorija,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8. otvorena i zatvorena javna kupališta, javne zahode i </w:t>
      </w:r>
      <w:proofErr w:type="spellStart"/>
      <w:r w:rsidRPr="00E364A8">
        <w:rPr>
          <w:rFonts w:ascii="Times New Roman" w:hAnsi="Times New Roman"/>
          <w:sz w:val="24"/>
          <w:szCs w:val="24"/>
        </w:rPr>
        <w:t>strvodernice</w:t>
      </w:r>
      <w:proofErr w:type="spellEnd"/>
      <w:r w:rsidRPr="00E364A8">
        <w:rPr>
          <w:rFonts w:ascii="Times New Roman" w:hAnsi="Times New Roman"/>
          <w:sz w:val="24"/>
          <w:szCs w:val="24"/>
        </w:rPr>
        <w:t>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9. zemljišta, zgrade i prostorije javnih knjižnica, čitaonica, galerija, kazališta, koncertnih dvorana i drugih ustanova kulture kojih je osnivač Grad Zagreb i za javnost otvorenih privatnih zbirki,</w:t>
      </w:r>
    </w:p>
    <w:p w:rsidR="001958C4" w:rsidRPr="00E364A8" w:rsidRDefault="004E5710" w:rsidP="00951EEB">
      <w:pPr>
        <w:spacing w:after="0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lastRenderedPageBreak/>
        <w:t>10. sportske objekte u vlasništvu Grada Zagreba, osim prostorija u kojima se obavlja poslovna djelatnost.</w:t>
      </w:r>
    </w:p>
    <w:p w:rsidR="00951EEB" w:rsidRPr="00E364A8" w:rsidRDefault="00951E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Iznimno od stavka 1. ovoga članka, komunalna naknada se  plaća za prostorije i zemljišta koje se daju u zakup, podzakup  ili na privremeno korištenje.</w:t>
      </w:r>
    </w:p>
    <w:p w:rsidR="001958C4" w:rsidRPr="00E364A8" w:rsidRDefault="004E5710">
      <w:pPr>
        <w:jc w:val="center"/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Članak 2</w:t>
      </w:r>
      <w:r w:rsidR="00807D33">
        <w:rPr>
          <w:rFonts w:ascii="Times New Roman" w:hAnsi="Times New Roman"/>
          <w:b/>
          <w:sz w:val="24"/>
          <w:szCs w:val="24"/>
        </w:rPr>
        <w:t>1</w:t>
      </w:r>
      <w:r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 w:rsidP="00E364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Obveznika komunalne naknade za stambeni prostor oslobodit će se, na njegov zahtjev, plaćanja  komunalne naknade za tekuću godinu u visini od:</w:t>
      </w:r>
    </w:p>
    <w:p w:rsidR="001958C4" w:rsidRPr="00E364A8" w:rsidRDefault="004E5710" w:rsidP="00E364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1. 50% iznosa, ako je prosječni prihod po članu obveznikova obiteljskog domaćinstva za prethodnu godinu bio od 40,01% do 50% prosječno mjesečno isplaćene neto-plaće po zaposlenom u pravnim osobama Repub</w:t>
      </w:r>
      <w:r w:rsidR="00951EEB" w:rsidRPr="00E364A8">
        <w:rPr>
          <w:rFonts w:ascii="Times New Roman" w:hAnsi="Times New Roman"/>
          <w:sz w:val="24"/>
          <w:szCs w:val="24"/>
        </w:rPr>
        <w:t>like Hrvatske u istom razdoblju,</w:t>
      </w:r>
    </w:p>
    <w:p w:rsidR="001958C4" w:rsidRPr="00E364A8" w:rsidRDefault="004E5710" w:rsidP="00E364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2. 75% iznosa, ako je prosječan prihod po članu obveznikova obiteljskog domaćinstva za prethodnu godinu bio od 30,01% do 40% prosječno mjesečno isplaćene neto-plaće po zaposlenom u pravnim osobama Repub</w:t>
      </w:r>
      <w:r w:rsidR="00951EEB" w:rsidRPr="00E364A8">
        <w:rPr>
          <w:rFonts w:ascii="Times New Roman" w:hAnsi="Times New Roman"/>
          <w:sz w:val="24"/>
          <w:szCs w:val="24"/>
        </w:rPr>
        <w:t>like Hrvatske u istom razdoblju,</w:t>
      </w:r>
    </w:p>
    <w:p w:rsidR="001958C4" w:rsidRPr="00E364A8" w:rsidRDefault="004E5710" w:rsidP="00E364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3. 100% iznosa, ako je prosječan prihod po članu obveznikova obiteljskog domaćinstva za prethodnu godinu bio manji od 30% prosječno mjesečno isplaćene neto-plaće po zaposlenom u pravnim osobama Republike Hrvatske u istom razdoblju ili ako prima zajamčenu minimalnu naknadu.</w:t>
      </w:r>
    </w:p>
    <w:p w:rsidR="001958C4" w:rsidRPr="00E364A8" w:rsidRDefault="00E364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4E5710" w:rsidRPr="00E364A8">
        <w:rPr>
          <w:rFonts w:ascii="Times New Roman" w:hAnsi="Times New Roman"/>
          <w:b/>
          <w:sz w:val="24"/>
          <w:szCs w:val="24"/>
        </w:rPr>
        <w:t>lanak 2</w:t>
      </w:r>
      <w:r w:rsidR="00807D33">
        <w:rPr>
          <w:rFonts w:ascii="Times New Roman" w:hAnsi="Times New Roman"/>
          <w:b/>
          <w:sz w:val="24"/>
          <w:szCs w:val="24"/>
        </w:rPr>
        <w:t>2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 w:rsidP="006F1990">
      <w:pPr>
        <w:jc w:val="both"/>
      </w:pPr>
      <w:r w:rsidRPr="00E364A8">
        <w:rPr>
          <w:rFonts w:ascii="Times New Roman" w:hAnsi="Times New Roman"/>
          <w:sz w:val="24"/>
          <w:szCs w:val="24"/>
        </w:rPr>
        <w:t xml:space="preserve">Uz zahtjev za </w:t>
      </w:r>
      <w:r w:rsidRPr="006F1990">
        <w:rPr>
          <w:rFonts w:ascii="Times New Roman" w:hAnsi="Times New Roman"/>
          <w:sz w:val="24"/>
          <w:szCs w:val="24"/>
        </w:rPr>
        <w:t>oslobađanje</w:t>
      </w:r>
      <w:r w:rsidR="006F1990" w:rsidRPr="006F1990">
        <w:rPr>
          <w:rFonts w:ascii="Times New Roman" w:hAnsi="Times New Roman"/>
          <w:sz w:val="24"/>
          <w:szCs w:val="24"/>
        </w:rPr>
        <w:t xml:space="preserve"> od</w:t>
      </w:r>
      <w:r w:rsidRPr="006F1990">
        <w:rPr>
          <w:rFonts w:ascii="Times New Roman" w:hAnsi="Times New Roman"/>
          <w:sz w:val="24"/>
          <w:szCs w:val="24"/>
        </w:rPr>
        <w:t xml:space="preserve"> plaćanja</w:t>
      </w:r>
      <w:r w:rsidRPr="00E364A8">
        <w:rPr>
          <w:rFonts w:ascii="Times New Roman" w:hAnsi="Times New Roman"/>
          <w:sz w:val="24"/>
          <w:szCs w:val="24"/>
        </w:rPr>
        <w:t xml:space="preserve"> komunalne naknade obveznik dužan je priložiti uvjerenje o visini ukupnih prihoda svih članova obiteljskog domaćinstva za prethodnu </w:t>
      </w:r>
      <w:r w:rsidRPr="00807D33">
        <w:rPr>
          <w:rFonts w:ascii="Times New Roman" w:hAnsi="Times New Roman"/>
          <w:sz w:val="24"/>
          <w:szCs w:val="24"/>
        </w:rPr>
        <w:t xml:space="preserve">godinu </w:t>
      </w:r>
      <w:r w:rsidR="00635917" w:rsidRPr="00807D33">
        <w:rPr>
          <w:rFonts w:ascii="Times New Roman" w:hAnsi="Times New Roman"/>
          <w:sz w:val="24"/>
          <w:szCs w:val="24"/>
        </w:rPr>
        <w:t>ili</w:t>
      </w:r>
      <w:r w:rsidRPr="00E364A8">
        <w:rPr>
          <w:rFonts w:ascii="Times New Roman" w:hAnsi="Times New Roman"/>
          <w:sz w:val="24"/>
          <w:szCs w:val="24"/>
        </w:rPr>
        <w:t xml:space="preserve"> dokaz o primanju zajamčene minimalne naknade.</w:t>
      </w:r>
    </w:p>
    <w:p w:rsidR="001958C4" w:rsidRPr="00E364A8" w:rsidRDefault="004E5710" w:rsidP="006F199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Prihodom u smislu ovoga članka smatra se prihod od samostalnog i nesamostalnog rada, mirovine i drugih prihoda prema propisima o porezu na dohodak.</w:t>
      </w:r>
    </w:p>
    <w:p w:rsidR="001958C4" w:rsidRPr="00E364A8" w:rsidRDefault="00807D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23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jc w:val="both"/>
      </w:pPr>
      <w:r w:rsidRPr="00E364A8">
        <w:rPr>
          <w:rFonts w:ascii="Times New Roman" w:hAnsi="Times New Roman"/>
          <w:sz w:val="24"/>
          <w:szCs w:val="24"/>
        </w:rPr>
        <w:t>Obveznika komunalne naknade za poslovni prostor može se na njegov zahtjev uz priloženi nalaz stalnoga sudskog vještaka, osloboditi plaćanja komunalne naknade u visini do 80%, ako mu je zbog više sile (poplava, potres i slično) znatnije oštećen poslovni prostor u kojem se obavlja  poslovna djelatnost, odnosno ako mu je poslovni prostor potpuno uništen oslobodit će ga se u potpunosti.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 xml:space="preserve">Obveznika komunalne naknade za poslovni prostor oslobodit će se, na njegov zahtjev, u potpunosti plaćanja komunalne naknade, ako je u trajanju duljem od 30 dana zbog gradnje ili rekonstrukcije ceste (uklanjanja kolničke, kolno-pješačke te kolničke i pješačke površine) pristup poslovnom prostoru omogućen samo kroz područje gradilišta. 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Obveznika komunalne naknade oslobodit će se plaćanja za vrijeme trajanja okolnosti koje su razlog oslobađanja.</w:t>
      </w:r>
    </w:p>
    <w:p w:rsidR="001958C4" w:rsidRPr="00E364A8" w:rsidRDefault="004E5710" w:rsidP="00951EEB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Obveznik komunalne naknade dužan je uz zahtjev za oslobođenje plaćanja komunalne naknade podnijeti dokaze iz kojih proizlazi osnovanost zahtjeva.</w:t>
      </w:r>
    </w:p>
    <w:p w:rsidR="007F1FE6" w:rsidRDefault="004E5710" w:rsidP="007F1FE6">
      <w:pPr>
        <w:jc w:val="center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lastRenderedPageBreak/>
        <w:t>Članak 2</w:t>
      </w:r>
      <w:r w:rsidR="00807D33">
        <w:rPr>
          <w:rFonts w:ascii="Times New Roman" w:hAnsi="Times New Roman"/>
          <w:b/>
          <w:sz w:val="24"/>
          <w:szCs w:val="24"/>
        </w:rPr>
        <w:t>4</w:t>
      </w:r>
      <w:r w:rsidRPr="00E364A8">
        <w:rPr>
          <w:rFonts w:ascii="Times New Roman" w:hAnsi="Times New Roman"/>
          <w:sz w:val="24"/>
          <w:szCs w:val="24"/>
        </w:rPr>
        <w:t>.</w:t>
      </w:r>
    </w:p>
    <w:p w:rsidR="001958C4" w:rsidRPr="00E364A8" w:rsidRDefault="004E5710" w:rsidP="007F1FE6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Rješenje o privremenom, djelomičnom ili potpunom oslobađanju od plaćanja komunalne naknade donosi gradsko upravno tijelo nadležno za komunalne poslove.</w:t>
      </w:r>
    </w:p>
    <w:p w:rsidR="001958C4" w:rsidRPr="00E364A8" w:rsidRDefault="004E5710" w:rsidP="00951EEB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Podnošenje zahtjeva za oslobođenje komunalne naknade ne odgađa ispunjenje obveze plaćanja.</w:t>
      </w:r>
    </w:p>
    <w:p w:rsidR="001958C4" w:rsidRDefault="00807D33" w:rsidP="006F19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25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8221EF" w:rsidRDefault="008221EF" w:rsidP="006F19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 w:rsidP="006F199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Obveznika plaćanja komunalne naknade za stambeni, poslovni i garažni prostor za koji je prijavljen početak uklanjanja građevine  sukladno posebnim propisima o gradnji  oslobodit će se, na njegov zahtjev, plaćanja komunalne naknade s danom prijave uklanjanja.</w:t>
      </w:r>
    </w:p>
    <w:p w:rsidR="00951EEB" w:rsidRPr="00E364A8" w:rsidRDefault="00951EEB">
      <w:pPr>
        <w:rPr>
          <w:rFonts w:ascii="Times New Roman" w:hAnsi="Times New Roman"/>
          <w:b/>
          <w:sz w:val="24"/>
          <w:szCs w:val="24"/>
        </w:rPr>
      </w:pPr>
    </w:p>
    <w:p w:rsidR="001958C4" w:rsidRPr="00E364A8" w:rsidRDefault="004E5710">
      <w:pPr>
        <w:rPr>
          <w:rFonts w:ascii="Times New Roman" w:hAnsi="Times New Roman"/>
          <w:b/>
          <w:sz w:val="24"/>
          <w:szCs w:val="24"/>
        </w:rPr>
      </w:pPr>
      <w:r w:rsidRPr="00E364A8">
        <w:rPr>
          <w:rFonts w:ascii="Times New Roman" w:hAnsi="Times New Roman"/>
          <w:b/>
          <w:sz w:val="24"/>
          <w:szCs w:val="24"/>
        </w:rPr>
        <w:t>X. PRIJELAZNE I ZAVRŠNE ODREDBE</w:t>
      </w:r>
    </w:p>
    <w:p w:rsidR="001958C4" w:rsidRPr="00E364A8" w:rsidRDefault="00807D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26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Postupci započeti do stupanja na snagu ove odluke, nastavit će se i dovršiti prema odredbama Odluke o komunalnoj naknadi (Službeni glasnik Grada Zagreba 19/01, 23/03, 22/09, 18/10, 25/13, 6/16, 21/16- pročišćeni tekst i 11/18).</w:t>
      </w:r>
    </w:p>
    <w:p w:rsidR="001958C4" w:rsidRPr="00E364A8" w:rsidRDefault="00807D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27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pPr>
        <w:jc w:val="both"/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Danom stupanja na snagu ove odluke prestaje važiti Odluka o komunalnoj naknadi (Službeni glasnik Grada Zagreba 19/01, 23/03, 22/09, 18/10, 25/13, 6/16, 21/16- pročišćeni tekst i 11/18).</w:t>
      </w:r>
    </w:p>
    <w:p w:rsidR="001958C4" w:rsidRPr="00E364A8" w:rsidRDefault="00807D3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28</w:t>
      </w:r>
      <w:r w:rsidR="004E5710" w:rsidRPr="00E364A8">
        <w:rPr>
          <w:rFonts w:ascii="Times New Roman" w:hAnsi="Times New Roman"/>
          <w:b/>
          <w:sz w:val="24"/>
          <w:szCs w:val="24"/>
        </w:rPr>
        <w:t>.</w:t>
      </w:r>
    </w:p>
    <w:p w:rsidR="001958C4" w:rsidRPr="00E364A8" w:rsidRDefault="004E5710">
      <w:r w:rsidRPr="00E364A8">
        <w:rPr>
          <w:rFonts w:ascii="Times New Roman" w:hAnsi="Times New Roman"/>
          <w:sz w:val="24"/>
          <w:szCs w:val="24"/>
        </w:rPr>
        <w:t>Ova odluka stupa na snagu osmoga dana od dana objave u Službenom glasniku Grada Zagreba.</w:t>
      </w: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:rsidR="001958C4" w:rsidRPr="00E364A8" w:rsidRDefault="001958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4E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KLASA: </w:t>
      </w:r>
    </w:p>
    <w:p w:rsidR="001958C4" w:rsidRPr="00E364A8" w:rsidRDefault="004E57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 xml:space="preserve">URBROJ: </w:t>
      </w:r>
    </w:p>
    <w:p w:rsidR="001958C4" w:rsidRPr="00E364A8" w:rsidRDefault="004E571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sz w:val="24"/>
          <w:szCs w:val="24"/>
          <w:lang w:eastAsia="hr-HR"/>
        </w:rPr>
        <w:t>Zagreb,</w:t>
      </w:r>
    </w:p>
    <w:p w:rsidR="001958C4" w:rsidRPr="00E364A8" w:rsidRDefault="004E571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Predsjednik</w:t>
      </w:r>
    </w:p>
    <w:p w:rsidR="001958C4" w:rsidRPr="00E364A8" w:rsidRDefault="004E571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Gradske skupštine</w:t>
      </w:r>
    </w:p>
    <w:p w:rsidR="001958C4" w:rsidRPr="00E364A8" w:rsidRDefault="004E5710">
      <w:pPr>
        <w:shd w:val="clear" w:color="auto" w:fill="FFFFFF"/>
        <w:spacing w:after="0" w:line="240" w:lineRule="auto"/>
        <w:ind w:left="4536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dr. </w:t>
      </w:r>
      <w:proofErr w:type="spellStart"/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sc</w:t>
      </w:r>
      <w:proofErr w:type="spellEnd"/>
      <w:r w:rsidRPr="00E364A8">
        <w:rPr>
          <w:rFonts w:ascii="Times New Roman" w:eastAsia="Times New Roman" w:hAnsi="Times New Roman"/>
          <w:b/>
          <w:sz w:val="24"/>
          <w:szCs w:val="24"/>
          <w:lang w:eastAsia="hr-HR"/>
        </w:rPr>
        <w:t>. Andrija Mikulić</w:t>
      </w:r>
    </w:p>
    <w:p w:rsidR="001958C4" w:rsidRPr="00E364A8" w:rsidRDefault="001958C4">
      <w:pPr>
        <w:shd w:val="clear" w:color="auto" w:fill="FFFFFF"/>
        <w:spacing w:before="100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1958C4" w:rsidRPr="00E364A8" w:rsidRDefault="001958C4">
      <w:pPr>
        <w:rPr>
          <w:rFonts w:ascii="Times New Roman" w:hAnsi="Times New Roman"/>
          <w:sz w:val="24"/>
          <w:szCs w:val="24"/>
        </w:rPr>
      </w:pPr>
    </w:p>
    <w:p w:rsidR="001958C4" w:rsidRPr="00E364A8" w:rsidRDefault="004E5710">
      <w:pPr>
        <w:rPr>
          <w:rFonts w:ascii="Times New Roman" w:hAnsi="Times New Roman"/>
          <w:sz w:val="24"/>
          <w:szCs w:val="24"/>
        </w:rPr>
      </w:pPr>
      <w:r w:rsidRPr="00E364A8">
        <w:rPr>
          <w:rFonts w:ascii="Times New Roman" w:hAnsi="Times New Roman"/>
          <w:sz w:val="24"/>
          <w:szCs w:val="24"/>
        </w:rPr>
        <w:t> </w:t>
      </w:r>
    </w:p>
    <w:p w:rsidR="001958C4" w:rsidRPr="00E364A8" w:rsidRDefault="001958C4">
      <w:pPr>
        <w:rPr>
          <w:rFonts w:ascii="Times New Roman" w:hAnsi="Times New Roman"/>
          <w:sz w:val="24"/>
          <w:szCs w:val="24"/>
        </w:rPr>
      </w:pPr>
    </w:p>
    <w:sectPr w:rsidR="001958C4" w:rsidRPr="00E364A8">
      <w:footerReference w:type="default" r:id="rId8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7E7" w:rsidRDefault="00DF07E7">
      <w:pPr>
        <w:spacing w:after="0" w:line="240" w:lineRule="auto"/>
      </w:pPr>
      <w:r>
        <w:separator/>
      </w:r>
    </w:p>
  </w:endnote>
  <w:endnote w:type="continuationSeparator" w:id="0">
    <w:p w:rsidR="00DF07E7" w:rsidRDefault="00DF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EEB" w:rsidRDefault="00951EEB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807D33">
      <w:rPr>
        <w:noProof/>
      </w:rPr>
      <w:t>12</w:t>
    </w:r>
    <w:r>
      <w:fldChar w:fldCharType="end"/>
    </w:r>
  </w:p>
  <w:p w:rsidR="00951EEB" w:rsidRDefault="00951E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7E7" w:rsidRDefault="00DF07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07E7" w:rsidRDefault="00DF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4B80"/>
    <w:multiLevelType w:val="multilevel"/>
    <w:tmpl w:val="3FFC2FB8"/>
    <w:lvl w:ilvl="0">
      <w:start w:val="1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40F9F"/>
    <w:multiLevelType w:val="multilevel"/>
    <w:tmpl w:val="D2221816"/>
    <w:lvl w:ilvl="0">
      <w:start w:val="8"/>
      <w:numFmt w:val="upperRoman"/>
      <w:lvlText w:val="%1."/>
      <w:lvlJc w:val="left"/>
      <w:pPr>
        <w:ind w:left="78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3F4CC6"/>
    <w:multiLevelType w:val="multilevel"/>
    <w:tmpl w:val="FCA4C1E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348FE"/>
    <w:multiLevelType w:val="multilevel"/>
    <w:tmpl w:val="D2AEE1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4490539"/>
    <w:multiLevelType w:val="multilevel"/>
    <w:tmpl w:val="2A58E1A6"/>
    <w:lvl w:ilvl="0">
      <w:start w:val="1"/>
      <w:numFmt w:val="upperRoman"/>
      <w:lvlText w:val="%1.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4"/>
    <w:rsid w:val="00054682"/>
    <w:rsid w:val="0006186A"/>
    <w:rsid w:val="001359F6"/>
    <w:rsid w:val="001958C4"/>
    <w:rsid w:val="001C1C14"/>
    <w:rsid w:val="002205D5"/>
    <w:rsid w:val="00336FDF"/>
    <w:rsid w:val="004E5710"/>
    <w:rsid w:val="004F489C"/>
    <w:rsid w:val="00635917"/>
    <w:rsid w:val="006A2282"/>
    <w:rsid w:val="006F1990"/>
    <w:rsid w:val="00711BB9"/>
    <w:rsid w:val="00711EDF"/>
    <w:rsid w:val="007F1FE6"/>
    <w:rsid w:val="00807D33"/>
    <w:rsid w:val="008221EF"/>
    <w:rsid w:val="00951EEB"/>
    <w:rsid w:val="009D7B0E"/>
    <w:rsid w:val="00A078DC"/>
    <w:rsid w:val="00A948FB"/>
    <w:rsid w:val="00D473A4"/>
    <w:rsid w:val="00DF07E7"/>
    <w:rsid w:val="00E364A8"/>
    <w:rsid w:val="00EF2B58"/>
    <w:rsid w:val="00FA62EE"/>
    <w:rsid w:val="00F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AB00"/>
  <w15:docId w15:val="{81B4C8B3-D5E6-4400-97A9-B6A7AA71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customStyle="1" w:styleId="Odlomakpopisa">
    <w:name w:val="Odlomak popisa"/>
    <w:basedOn w:val="Normal"/>
    <w:pPr>
      <w:ind w:left="720"/>
      <w:textAlignment w:val="auto"/>
    </w:pPr>
  </w:style>
  <w:style w:type="character" w:customStyle="1" w:styleId="Zadanifontodlomka">
    <w:name w:val="Zadani font odlomka"/>
  </w:style>
  <w:style w:type="paragraph" w:styleId="NoSpacing">
    <w:name w:val="No Spacing"/>
    <w:pPr>
      <w:suppressAutoHyphens/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C17B-CB77-494E-86D4-5C707C893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3484</Words>
  <Characters>19860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Škudar</dc:creator>
  <dc:description/>
  <cp:lastModifiedBy>Renata Škudar</cp:lastModifiedBy>
  <cp:revision>9</cp:revision>
  <cp:lastPrinted>2019-01-03T09:27:00Z</cp:lastPrinted>
  <dcterms:created xsi:type="dcterms:W3CDTF">2019-01-03T09:55:00Z</dcterms:created>
  <dcterms:modified xsi:type="dcterms:W3CDTF">2019-03-08T10:02:00Z</dcterms:modified>
</cp:coreProperties>
</file>